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F350">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14:paraId="717E713A">
      <w:pPr>
        <w:tabs>
          <w:tab w:val="left" w:pos="180"/>
        </w:tabs>
        <w:jc w:val="center"/>
        <w:rPr>
          <w:sz w:val="28"/>
          <w:szCs w:val="28"/>
          <w:u w:val="thick"/>
        </w:rPr>
      </w:pPr>
      <w:r>
        <w:rPr>
          <w:sz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615940" cy="8890"/>
                <wp:effectExtent l="0" t="0" r="22860" b="292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ln>
                        <a:effectLst/>
                      </wps:spPr>
                      <wps:bodyPr/>
                    </wps:wsp>
                  </a:graphicData>
                </a:graphic>
              </wp:anchor>
            </w:drawing>
          </mc:Choice>
          <mc:Fallback>
            <w:pict>
              <v:line id="_x0000_s1026" o:spid="_x0000_s1026" o:spt="20" style="position:absolute;left:0pt;flip:y;margin-left:0pt;margin-top:25.4pt;height:0.7pt;width:442.2pt;z-index:251661312;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r7pW1gAAAAYBAAAPAAAAAAAAAAEAIAAAACIAAABkcnMvZG93bnJldi54bWxQSwEC&#10;FAAUAAAACACHTuJA7yiqU/YBAADFAwAADgAAAAAAAAABACAAAAAlAQAAZHJzL2Uyb0RvYy54bWxQ&#10;SwUGAAAAAAYABgBZAQAAjQUAAAAA&#10;">
                <v:fill on="f" focussize="0,0"/>
                <v:stroke color="#FF0000" joinstyle="round"/>
                <v:imagedata o:title=""/>
                <o:lock v:ext="edit" aspectratio="f"/>
              </v:line>
            </w:pict>
          </mc:Fallback>
        </mc:AlternateContent>
      </w:r>
      <w:r>
        <w:rPr>
          <w:color w:val="FF0000"/>
          <w:sz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22860" b="279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Vb1i9MAAAAGAQAADwAAAAAAAAABACAAAAAiAAAAZHJzL2Rvd25yZXYueG1sUEsBAhQA&#10;FAAAAAgAh07iQMeV63H3AQAAxwMAAA4AAAAAAAAAAQAgAAAAIgEAAGRycy9lMm9Eb2MueG1sUEsF&#10;BgAAAAAGAAYAWQEAAIsFAAAAAA==&#10;">
                <v:fill on="f" focussize="0,0"/>
                <v:stroke weight="2pt" color="#FF0000" joinstyle="round"/>
                <v:imagedata o:title=""/>
                <o:lock v:ext="edit" aspectratio="f"/>
              </v:line>
            </w:pict>
          </mc:Fallback>
        </mc:AlternateContent>
      </w:r>
    </w:p>
    <w:p w14:paraId="4B76BE0C">
      <w:pPr>
        <w:wordWrap w:val="0"/>
        <w:jc w:val="righ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南大教函〔20</w:t>
      </w:r>
      <w:r>
        <w:rPr>
          <w:rFonts w:ascii="仿宋_GB2312" w:hAnsi="宋体" w:eastAsia="仿宋_GB2312"/>
          <w:snapToGrid w:val="0"/>
          <w:kern w:val="0"/>
          <w:sz w:val="32"/>
          <w:szCs w:val="32"/>
        </w:rPr>
        <w:t>21</w:t>
      </w:r>
      <w:r>
        <w:rPr>
          <w:rFonts w:hint="eastAsia" w:ascii="仿宋_GB2312" w:hAnsi="宋体" w:eastAsia="仿宋_GB2312"/>
          <w:snapToGrid w:val="0"/>
          <w:kern w:val="0"/>
          <w:sz w:val="32"/>
          <w:szCs w:val="32"/>
        </w:rPr>
        <w:t>〕</w:t>
      </w:r>
      <w:r>
        <w:rPr>
          <w:rFonts w:hint="eastAsia" w:ascii="仿宋_GB2312" w:hAnsi="宋体" w:eastAsia="仿宋_GB2312"/>
          <w:snapToGrid w:val="0"/>
          <w:kern w:val="0"/>
          <w:sz w:val="32"/>
          <w:szCs w:val="32"/>
          <w:lang w:val="en-US" w:eastAsia="zh-CN"/>
        </w:rPr>
        <w:t>38</w:t>
      </w:r>
      <w:r>
        <w:rPr>
          <w:rFonts w:hint="eastAsia" w:ascii="仿宋_GB2312" w:hAnsi="宋体" w:eastAsia="仿宋_GB2312"/>
          <w:snapToGrid w:val="0"/>
          <w:kern w:val="0"/>
          <w:sz w:val="32"/>
          <w:szCs w:val="32"/>
        </w:rPr>
        <w:t>号</w:t>
      </w:r>
    </w:p>
    <w:p w14:paraId="2F862C12">
      <w:pPr>
        <w:autoSpaceDE w:val="0"/>
        <w:autoSpaceDN w:val="0"/>
        <w:adjustRightInd w:val="0"/>
        <w:jc w:val="center"/>
        <w:rPr>
          <w:rFonts w:hint="eastAsia" w:ascii="宋体" w:hAnsi="宋体" w:eastAsia="宋体" w:cs="Times New Roman"/>
          <w:b/>
          <w:snapToGrid/>
          <w:kern w:val="2"/>
          <w:sz w:val="36"/>
          <w:szCs w:val="36"/>
        </w:rPr>
      </w:pPr>
      <w:r>
        <w:rPr>
          <w:rFonts w:hint="eastAsia" w:ascii="宋体" w:hAnsi="宋体" w:eastAsia="宋体" w:cs="Times New Roman"/>
          <w:b/>
          <w:snapToGrid/>
          <w:kern w:val="2"/>
          <w:sz w:val="36"/>
          <w:szCs w:val="36"/>
        </w:rPr>
        <w:t>关于印发</w:t>
      </w:r>
      <w:r>
        <w:rPr>
          <w:rFonts w:hint="eastAsia" w:ascii="宋体" w:hAnsi="宋体" w:eastAsia="宋体" w:cs="Times New Roman"/>
          <w:b/>
          <w:snapToGrid/>
          <w:kern w:val="2"/>
          <w:sz w:val="36"/>
          <w:szCs w:val="36"/>
          <w:lang w:eastAsia="zh-CN"/>
        </w:rPr>
        <w:t>《</w:t>
      </w:r>
      <w:r>
        <w:rPr>
          <w:rFonts w:hint="eastAsia" w:ascii="宋体" w:hAnsi="宋体" w:eastAsia="宋体" w:cs="Times New Roman"/>
          <w:b/>
          <w:snapToGrid/>
          <w:kern w:val="2"/>
          <w:sz w:val="36"/>
          <w:szCs w:val="36"/>
        </w:rPr>
        <w:t>南昌大学本科生辅修专业/辅修学士学位</w:t>
      </w:r>
    </w:p>
    <w:p w14:paraId="767B9438">
      <w:pPr>
        <w:autoSpaceDE w:val="0"/>
        <w:autoSpaceDN w:val="0"/>
        <w:adjustRightInd w:val="0"/>
        <w:jc w:val="center"/>
        <w:rPr>
          <w:rFonts w:hint="eastAsia" w:eastAsia="宋体" w:cs="FZDBSK--GBK1-0" w:asciiTheme="majorEastAsia" w:hAnsiTheme="majorEastAsia"/>
          <w:b/>
          <w:kern w:val="0"/>
          <w:sz w:val="44"/>
          <w:szCs w:val="44"/>
          <w:lang w:eastAsia="zh-CN"/>
        </w:rPr>
      </w:pPr>
      <w:r>
        <w:rPr>
          <w:rFonts w:hint="eastAsia" w:ascii="宋体" w:hAnsi="宋体" w:eastAsia="宋体" w:cs="Times New Roman"/>
          <w:b/>
          <w:snapToGrid/>
          <w:kern w:val="2"/>
          <w:sz w:val="36"/>
          <w:szCs w:val="36"/>
        </w:rPr>
        <w:t>管理办法（试行）</w:t>
      </w:r>
      <w:r>
        <w:rPr>
          <w:rFonts w:hint="eastAsia" w:ascii="宋体" w:hAnsi="宋体" w:eastAsia="宋体" w:cs="Times New Roman"/>
          <w:b/>
          <w:snapToGrid/>
          <w:kern w:val="2"/>
          <w:sz w:val="36"/>
          <w:szCs w:val="36"/>
          <w:lang w:eastAsia="zh-CN"/>
        </w:rPr>
        <w:t>》的通知</w:t>
      </w:r>
    </w:p>
    <w:p w14:paraId="141E85E4">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校内各单位：</w:t>
      </w:r>
    </w:p>
    <w:p w14:paraId="77C83FD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《南昌大学本科生辅修专业/辅修学士学位管理办法（试行）》业经2020年12月17日本科生院院务会议审议通过，现予以印发，请遵照执行。</w:t>
      </w:r>
    </w:p>
    <w:p w14:paraId="682D53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14:paraId="6EF73FC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14:paraId="362A845D">
      <w:pPr>
        <w:keepNext w:val="0"/>
        <w:keepLines w:val="0"/>
        <w:pageBreakBefore w:val="0"/>
        <w:widowControl w:val="0"/>
        <w:kinsoku/>
        <w:wordWrap/>
        <w:overflowPunct/>
        <w:topLinePunct w:val="0"/>
        <w:autoSpaceDE/>
        <w:autoSpaceDN/>
        <w:bidi w:val="0"/>
        <w:adjustRightInd/>
        <w:snapToGrid/>
        <w:ind w:firstLine="6400" w:firstLineChars="20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xml:space="preserve"> 教务处</w:t>
      </w:r>
    </w:p>
    <w:p w14:paraId="69E2B2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xml:space="preserve">                                20</w:t>
      </w:r>
      <w:r>
        <w:rPr>
          <w:rFonts w:hint="eastAsia" w:ascii="仿宋_GB2312" w:hAnsi="宋体" w:eastAsia="仿宋_GB2312"/>
          <w:snapToGrid w:val="0"/>
          <w:kern w:val="0"/>
          <w:sz w:val="32"/>
          <w:szCs w:val="32"/>
          <w:lang w:val="en-US" w:eastAsia="zh-CN"/>
        </w:rPr>
        <w:t>21</w:t>
      </w:r>
      <w:r>
        <w:rPr>
          <w:rFonts w:hint="eastAsia" w:ascii="仿宋_GB2312" w:hAnsi="宋体" w:eastAsia="仿宋_GB2312"/>
          <w:snapToGrid w:val="0"/>
          <w:kern w:val="0"/>
          <w:sz w:val="32"/>
          <w:szCs w:val="32"/>
        </w:rPr>
        <w:t>年</w:t>
      </w:r>
      <w:r>
        <w:rPr>
          <w:rFonts w:hint="eastAsia" w:ascii="仿宋_GB2312" w:hAnsi="宋体" w:eastAsia="仿宋_GB2312"/>
          <w:snapToGrid w:val="0"/>
          <w:kern w:val="0"/>
          <w:sz w:val="32"/>
          <w:szCs w:val="32"/>
          <w:lang w:val="en-US" w:eastAsia="zh-CN"/>
        </w:rPr>
        <w:t>4</w:t>
      </w:r>
      <w:r>
        <w:rPr>
          <w:rFonts w:hint="eastAsia" w:ascii="仿宋_GB2312" w:hAnsi="宋体" w:eastAsia="仿宋_GB2312"/>
          <w:snapToGrid w:val="0"/>
          <w:kern w:val="0"/>
          <w:sz w:val="32"/>
          <w:szCs w:val="32"/>
        </w:rPr>
        <w:t>月</w:t>
      </w:r>
      <w:r>
        <w:rPr>
          <w:rFonts w:hint="eastAsia" w:ascii="仿宋_GB2312" w:hAnsi="宋体" w:eastAsia="仿宋_GB2312"/>
          <w:snapToGrid w:val="0"/>
          <w:kern w:val="0"/>
          <w:sz w:val="32"/>
          <w:szCs w:val="32"/>
          <w:lang w:val="en-US" w:eastAsia="zh-CN"/>
        </w:rPr>
        <w:t>13</w:t>
      </w:r>
      <w:r>
        <w:rPr>
          <w:rFonts w:hint="eastAsia" w:ascii="仿宋_GB2312" w:hAnsi="宋体" w:eastAsia="仿宋_GB2312"/>
          <w:snapToGrid w:val="0"/>
          <w:kern w:val="0"/>
          <w:sz w:val="32"/>
          <w:szCs w:val="32"/>
        </w:rPr>
        <w:t>日</w:t>
      </w:r>
    </w:p>
    <w:p w14:paraId="0E68AB8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14:paraId="4C17622C">
      <w:pPr>
        <w:wordWrap/>
        <w:jc w:val="right"/>
        <w:rPr>
          <w:rFonts w:hint="eastAsia" w:ascii="仿宋_GB2312" w:hAnsi="宋体" w:eastAsia="仿宋_GB2312"/>
          <w:snapToGrid w:val="0"/>
          <w:kern w:val="0"/>
          <w:sz w:val="32"/>
          <w:szCs w:val="32"/>
        </w:rPr>
      </w:pPr>
    </w:p>
    <w:p w14:paraId="4A2E3D1C">
      <w:pPr>
        <w:wordWrap/>
        <w:jc w:val="right"/>
        <w:rPr>
          <w:rFonts w:hint="eastAsia" w:ascii="仿宋_GB2312" w:hAnsi="宋体" w:eastAsia="仿宋_GB2312"/>
          <w:snapToGrid w:val="0"/>
          <w:kern w:val="0"/>
          <w:sz w:val="32"/>
          <w:szCs w:val="32"/>
        </w:rPr>
      </w:pPr>
    </w:p>
    <w:p w14:paraId="7E7D7324">
      <w:pPr>
        <w:wordWrap/>
        <w:jc w:val="right"/>
        <w:rPr>
          <w:rFonts w:hint="eastAsia" w:ascii="仿宋_GB2312" w:hAnsi="宋体" w:eastAsia="仿宋_GB2312"/>
          <w:snapToGrid w:val="0"/>
          <w:kern w:val="0"/>
          <w:sz w:val="32"/>
          <w:szCs w:val="32"/>
        </w:rPr>
      </w:pPr>
    </w:p>
    <w:p w14:paraId="46063FAC">
      <w:pPr>
        <w:wordWrap/>
        <w:jc w:val="right"/>
        <w:rPr>
          <w:rFonts w:hint="eastAsia" w:ascii="仿宋_GB2312" w:hAnsi="宋体" w:eastAsia="仿宋_GB2312"/>
          <w:snapToGrid w:val="0"/>
          <w:kern w:val="0"/>
          <w:sz w:val="32"/>
          <w:szCs w:val="32"/>
        </w:rPr>
      </w:pPr>
    </w:p>
    <w:p w14:paraId="528BE057">
      <w:pPr>
        <w:wordWrap/>
        <w:jc w:val="right"/>
        <w:rPr>
          <w:rFonts w:hint="eastAsia" w:ascii="仿宋_GB2312" w:hAnsi="宋体" w:eastAsia="仿宋_GB2312"/>
          <w:snapToGrid w:val="0"/>
          <w:kern w:val="0"/>
          <w:sz w:val="32"/>
          <w:szCs w:val="32"/>
        </w:rPr>
      </w:pPr>
    </w:p>
    <w:p w14:paraId="59494FB7">
      <w:pPr>
        <w:wordWrap/>
        <w:jc w:val="right"/>
        <w:rPr>
          <w:rFonts w:hint="eastAsia" w:ascii="仿宋_GB2312" w:hAnsi="宋体" w:eastAsia="仿宋_GB2312"/>
          <w:snapToGrid w:val="0"/>
          <w:kern w:val="0"/>
          <w:sz w:val="32"/>
          <w:szCs w:val="32"/>
        </w:rPr>
      </w:pPr>
    </w:p>
    <w:p w14:paraId="02ABC8CA">
      <w:pPr>
        <w:wordWrap/>
        <w:jc w:val="right"/>
        <w:rPr>
          <w:rFonts w:hint="eastAsia" w:ascii="仿宋_GB2312" w:hAnsi="宋体" w:eastAsia="仿宋_GB2312"/>
          <w:snapToGrid w:val="0"/>
          <w:kern w:val="0"/>
          <w:sz w:val="32"/>
          <w:szCs w:val="32"/>
        </w:rPr>
      </w:pPr>
    </w:p>
    <w:p w14:paraId="3A56B37D">
      <w:pPr>
        <w:autoSpaceDE w:val="0"/>
        <w:autoSpaceDN w:val="0"/>
        <w:adjustRightInd w:val="0"/>
        <w:jc w:val="center"/>
        <w:rPr>
          <w:rFonts w:cs="FZDBSK--GBK1-0" w:asciiTheme="majorEastAsia" w:hAnsiTheme="majorEastAsia" w:eastAsiaTheme="majorEastAsia"/>
          <w:b/>
          <w:kern w:val="0"/>
          <w:sz w:val="44"/>
          <w:szCs w:val="44"/>
        </w:rPr>
      </w:pPr>
      <w:r>
        <w:rPr>
          <w:rFonts w:hint="eastAsia" w:cs="FZDBSK--GBK1-0" w:asciiTheme="majorEastAsia" w:hAnsiTheme="majorEastAsia" w:eastAsiaTheme="majorEastAsia"/>
          <w:b/>
          <w:kern w:val="0"/>
          <w:sz w:val="44"/>
          <w:szCs w:val="44"/>
        </w:rPr>
        <w:t>南昌大学本科生辅修专业/辅修学士学位</w:t>
      </w:r>
    </w:p>
    <w:p w14:paraId="12186D05">
      <w:pPr>
        <w:autoSpaceDE w:val="0"/>
        <w:autoSpaceDN w:val="0"/>
        <w:adjustRightInd w:val="0"/>
        <w:jc w:val="center"/>
        <w:rPr>
          <w:rFonts w:cs="FZDBSK--GBK1-0" w:asciiTheme="majorEastAsia" w:hAnsiTheme="majorEastAsia" w:eastAsiaTheme="majorEastAsia"/>
          <w:b/>
          <w:kern w:val="0"/>
          <w:sz w:val="44"/>
          <w:szCs w:val="44"/>
        </w:rPr>
      </w:pPr>
      <w:r>
        <w:rPr>
          <w:rFonts w:hint="eastAsia" w:cs="FZDBSK--GBK1-0" w:asciiTheme="majorEastAsia" w:hAnsiTheme="majorEastAsia" w:eastAsiaTheme="majorEastAsia"/>
          <w:b/>
          <w:kern w:val="0"/>
          <w:sz w:val="44"/>
          <w:szCs w:val="44"/>
        </w:rPr>
        <w:t>管理办法（试行）</w:t>
      </w:r>
    </w:p>
    <w:p w14:paraId="490DD1AC">
      <w:pPr>
        <w:ind w:firstLine="640" w:firstLineChars="200"/>
        <w:rPr>
          <w:rFonts w:ascii="仿宋_GB2312" w:eastAsia="仿宋_GB2312"/>
          <w:sz w:val="32"/>
          <w:szCs w:val="32"/>
        </w:rPr>
      </w:pPr>
    </w:p>
    <w:p w14:paraId="60A964F1">
      <w:pPr>
        <w:ind w:firstLine="640" w:firstLineChars="200"/>
        <w:rPr>
          <w:rFonts w:ascii="仿宋_GB2312"/>
          <w:sz w:val="32"/>
          <w:szCs w:val="32"/>
        </w:rPr>
      </w:pPr>
      <w:r>
        <w:rPr>
          <w:rFonts w:hint="eastAsia" w:ascii="仿宋_GB2312" w:eastAsia="仿宋_GB2312"/>
          <w:sz w:val="32"/>
          <w:szCs w:val="32"/>
        </w:rPr>
        <w:t>第一条　为规范全日制普通本科生辅修专业/辅修学士学位教育，培养复合型、创新性和实践性高</w:t>
      </w:r>
      <w:r>
        <w:rPr>
          <w:rFonts w:hint="eastAsia" w:ascii="仿宋_GB2312" w:eastAsia="仿宋_GB2312"/>
          <w:sz w:val="32"/>
          <w:szCs w:val="32"/>
          <w:lang w:eastAsia="zh-CN"/>
        </w:rPr>
        <w:t>素质</w:t>
      </w:r>
      <w:r>
        <w:rPr>
          <w:rFonts w:hint="eastAsia" w:ascii="仿宋_GB2312" w:eastAsia="仿宋_GB2312"/>
          <w:sz w:val="32"/>
          <w:szCs w:val="32"/>
        </w:rPr>
        <w:t>人才，依据国家和学校有关规定，制定本办法</w:t>
      </w:r>
      <w:r>
        <w:rPr>
          <w:rFonts w:hint="eastAsia" w:ascii="Microsoft Yi Baiti" w:hAnsi="Microsoft Yi Baiti" w:eastAsia="Microsoft Yi Baiti" w:cs="Microsoft Yi Baiti"/>
          <w:sz w:val="32"/>
          <w:szCs w:val="32"/>
        </w:rPr>
        <w:t>。</w:t>
      </w:r>
    </w:p>
    <w:p w14:paraId="4F73F476">
      <w:pPr>
        <w:ind w:firstLine="640" w:firstLineChars="200"/>
        <w:rPr>
          <w:rFonts w:ascii="仿宋_GB2312"/>
          <w:sz w:val="32"/>
          <w:szCs w:val="32"/>
        </w:rPr>
      </w:pPr>
      <w:r>
        <w:rPr>
          <w:rFonts w:hint="eastAsia" w:ascii="仿宋_GB2312" w:eastAsia="仿宋_GB2312"/>
          <w:sz w:val="32"/>
          <w:szCs w:val="32"/>
        </w:rPr>
        <w:t>第二条　辅修专业/</w:t>
      </w:r>
      <w:r>
        <w:rPr>
          <w:rFonts w:hint="eastAsia" w:ascii="仿宋_GB2312" w:eastAsia="仿宋_GB2312"/>
          <w:sz w:val="32"/>
          <w:szCs w:val="32"/>
          <w:lang w:eastAsia="zh-CN"/>
        </w:rPr>
        <w:t>辅修</w:t>
      </w:r>
      <w:r>
        <w:rPr>
          <w:rFonts w:hint="eastAsia" w:ascii="仿宋_GB2312" w:eastAsia="仿宋_GB2312"/>
          <w:sz w:val="32"/>
          <w:szCs w:val="32"/>
        </w:rPr>
        <w:t>学士学位教育是指学生除按照学籍管理规定接受主修专业的教育外，跨本科专业大类接受我校开设的另一专业辅修学士学位的教育</w:t>
      </w:r>
      <w:r>
        <w:rPr>
          <w:rFonts w:hint="eastAsia" w:ascii="Microsoft Yi Baiti" w:hAnsi="Microsoft Yi Baiti" w:eastAsia="Microsoft Yi Baiti" w:cs="Microsoft Yi Baiti"/>
          <w:sz w:val="32"/>
          <w:szCs w:val="32"/>
        </w:rPr>
        <w:t>。</w:t>
      </w:r>
    </w:p>
    <w:p w14:paraId="5CEC1067">
      <w:pPr>
        <w:ind w:firstLine="640" w:firstLineChars="200"/>
        <w:rPr>
          <w:rFonts w:ascii="仿宋_GB2312" w:eastAsia="仿宋_GB2312"/>
          <w:sz w:val="32"/>
          <w:szCs w:val="32"/>
        </w:rPr>
      </w:pPr>
      <w:r>
        <w:rPr>
          <w:rFonts w:hint="eastAsia" w:ascii="仿宋_GB2312" w:eastAsia="仿宋_GB2312"/>
          <w:sz w:val="32"/>
          <w:szCs w:val="32"/>
        </w:rPr>
        <w:t>第三条　申报资格与条件</w:t>
      </w:r>
    </w:p>
    <w:p w14:paraId="26B15EBE">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）南昌大学</w:t>
      </w:r>
      <w:r>
        <w:rPr>
          <w:rFonts w:hint="eastAsia" w:ascii="仿宋_GB2312" w:eastAsia="仿宋_GB2312"/>
          <w:sz w:val="32"/>
          <w:szCs w:val="32"/>
        </w:rPr>
        <w:t>全日制普通本科一、二年级学生（不包括第二学士学位学生）。</w:t>
      </w:r>
    </w:p>
    <w:p w14:paraId="0953AA85">
      <w:pPr>
        <w:ind w:firstLine="640" w:firstLineChars="200"/>
        <w:rPr>
          <w:rFonts w:ascii="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政治思想表现好，在校期间未受过纪律处分</w:t>
      </w:r>
      <w:r>
        <w:rPr>
          <w:rFonts w:hint="eastAsia" w:ascii="Microsoft Yi Baiti" w:hAnsi="Microsoft Yi Baiti" w:eastAsia="Microsoft Yi Baiti" w:cs="Microsoft Yi Baiti"/>
          <w:sz w:val="32"/>
          <w:szCs w:val="32"/>
        </w:rPr>
        <w:t>。</w:t>
      </w:r>
    </w:p>
    <w:p w14:paraId="465EBE81">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学有余力，已修课程平均学分绩点在２.0以上；或对拟申报的专业确有特长和兴趣，并经承办学院审核同意。</w:t>
      </w:r>
    </w:p>
    <w:p w14:paraId="2347E163">
      <w:pPr>
        <w:ind w:firstLine="640" w:firstLineChars="200"/>
        <w:rPr>
          <w:rFonts w:ascii="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学生在校期间，最多只能修读一个辅修专业/辅修学士学位</w:t>
      </w:r>
      <w:r>
        <w:rPr>
          <w:rFonts w:hint="eastAsia" w:ascii="Microsoft Yi Baiti" w:hAnsi="Microsoft Yi Baiti" w:eastAsia="Microsoft Yi Baiti" w:cs="Microsoft Yi Baiti"/>
          <w:sz w:val="32"/>
          <w:szCs w:val="32"/>
        </w:rPr>
        <w:t>。</w:t>
      </w:r>
    </w:p>
    <w:p w14:paraId="0695FEB3">
      <w:pPr>
        <w:ind w:firstLine="640" w:firstLineChars="200"/>
        <w:rPr>
          <w:rFonts w:ascii="仿宋_GB2312" w:eastAsia="仿宋_GB2312"/>
          <w:sz w:val="32"/>
          <w:szCs w:val="32"/>
        </w:rPr>
      </w:pPr>
      <w:r>
        <w:rPr>
          <w:rFonts w:hint="eastAsia" w:ascii="仿宋_GB2312" w:eastAsia="仿宋_GB2312"/>
          <w:sz w:val="32"/>
          <w:szCs w:val="32"/>
        </w:rPr>
        <w:t>第四条　学校每年春季学期末公布招收攻读辅修专业/辅修学士学位的通知，接受学生报名，并同时缴费。</w:t>
      </w:r>
      <w:r>
        <w:rPr>
          <w:rFonts w:ascii="仿宋_GB2312" w:eastAsia="仿宋_GB2312"/>
          <w:sz w:val="32"/>
          <w:szCs w:val="32"/>
        </w:rPr>
        <w:t>收费标准参照</w:t>
      </w:r>
      <w:r>
        <w:rPr>
          <w:rFonts w:hint="eastAsia" w:ascii="仿宋_GB2312" w:eastAsia="仿宋_GB2312"/>
          <w:sz w:val="32"/>
          <w:szCs w:val="32"/>
        </w:rPr>
        <w:t>“</w:t>
      </w:r>
      <w:r>
        <w:rPr>
          <w:rFonts w:ascii="仿宋_GB2312" w:eastAsia="仿宋_GB2312"/>
          <w:sz w:val="32"/>
          <w:szCs w:val="32"/>
        </w:rPr>
        <w:t>赣</w:t>
      </w:r>
      <w:r>
        <w:rPr>
          <w:rFonts w:hint="eastAsia" w:ascii="仿宋_GB2312" w:eastAsia="仿宋_GB2312"/>
          <w:sz w:val="32"/>
          <w:szCs w:val="32"/>
        </w:rPr>
        <w:t>发改收费字</w:t>
      </w:r>
      <w:r>
        <w:rPr>
          <w:rFonts w:hint="eastAsia" w:ascii="仿宋_GB2312" w:eastAsia="仿宋_GB2312"/>
          <w:sz w:val="32"/>
          <w:szCs w:val="32"/>
          <w:lang w:eastAsia="zh-CN"/>
        </w:rPr>
        <w:t>〔2009〕536号</w:t>
      </w:r>
      <w:r>
        <w:rPr>
          <w:rFonts w:hint="eastAsia" w:ascii="仿宋_GB2312" w:eastAsia="仿宋_GB2312"/>
          <w:sz w:val="32"/>
          <w:szCs w:val="32"/>
        </w:rPr>
        <w:t>）”</w:t>
      </w:r>
      <w:r>
        <w:rPr>
          <w:rFonts w:ascii="仿宋_GB2312" w:eastAsia="仿宋_GB2312"/>
          <w:sz w:val="32"/>
          <w:szCs w:val="32"/>
        </w:rPr>
        <w:t>执行</w:t>
      </w:r>
      <w:r>
        <w:rPr>
          <w:rFonts w:hint="eastAsia" w:ascii="仿宋_GB2312" w:eastAsia="仿宋_GB2312"/>
          <w:sz w:val="32"/>
          <w:szCs w:val="32"/>
        </w:rPr>
        <w:t>，具体标准如下：</w:t>
      </w:r>
    </w:p>
    <w:p w14:paraId="4E3993C1">
      <w:pPr>
        <w:ind w:firstLine="640" w:firstLineChars="200"/>
        <w:rPr>
          <w:rFonts w:ascii="仿宋_GB2312" w:eastAsia="仿宋_GB2312"/>
          <w:sz w:val="32"/>
          <w:szCs w:val="32"/>
        </w:rPr>
      </w:pPr>
      <w:r>
        <w:rPr>
          <w:rFonts w:hint="eastAsia" w:ascii="仿宋_GB2312" w:eastAsia="仿宋_GB2312"/>
          <w:sz w:val="32"/>
          <w:szCs w:val="32"/>
        </w:rPr>
        <w:t>1．文科（文、史、哲）类专业：3500元/学年；</w:t>
      </w:r>
    </w:p>
    <w:p w14:paraId="2E8BC3CA">
      <w:pPr>
        <w:ind w:firstLine="640" w:firstLineChars="200"/>
        <w:rPr>
          <w:rFonts w:ascii="仿宋_GB2312" w:eastAsia="仿宋_GB2312"/>
          <w:sz w:val="32"/>
          <w:szCs w:val="32"/>
        </w:rPr>
      </w:pPr>
      <w:r>
        <w:rPr>
          <w:rFonts w:hint="eastAsia" w:ascii="仿宋_GB2312" w:eastAsia="仿宋_GB2312"/>
          <w:sz w:val="32"/>
          <w:szCs w:val="32"/>
        </w:rPr>
        <w:t>2．文科（经、管、法、外）类专业：3800元/学年；</w:t>
      </w:r>
    </w:p>
    <w:p w14:paraId="15FEEFE1">
      <w:pPr>
        <w:ind w:firstLine="640" w:firstLineChars="200"/>
        <w:rPr>
          <w:rFonts w:ascii="仿宋_GB2312" w:eastAsia="仿宋_GB2312"/>
          <w:sz w:val="32"/>
          <w:szCs w:val="32"/>
        </w:rPr>
      </w:pPr>
      <w:r>
        <w:rPr>
          <w:rFonts w:hint="eastAsia" w:ascii="仿宋_GB2312" w:eastAsia="仿宋_GB2312"/>
          <w:sz w:val="32"/>
          <w:szCs w:val="32"/>
        </w:rPr>
        <w:t>3．理工科（Ⅰ）类专业：4000元/学年；</w:t>
      </w:r>
    </w:p>
    <w:p w14:paraId="691DED3E">
      <w:pPr>
        <w:ind w:firstLine="640" w:firstLineChars="200"/>
        <w:rPr>
          <w:rFonts w:ascii="仿宋_GB2312" w:eastAsia="仿宋_GB2312"/>
          <w:sz w:val="32"/>
          <w:szCs w:val="32"/>
        </w:rPr>
      </w:pPr>
      <w:r>
        <w:rPr>
          <w:rFonts w:hint="eastAsia" w:ascii="仿宋_GB2312" w:eastAsia="仿宋_GB2312"/>
          <w:sz w:val="32"/>
          <w:szCs w:val="32"/>
        </w:rPr>
        <w:t>4．理工科（Ⅱ）类专业：4200元/学年。</w:t>
      </w:r>
    </w:p>
    <w:p w14:paraId="6000FA3C">
      <w:pPr>
        <w:ind w:firstLine="640" w:firstLineChars="200"/>
        <w:rPr>
          <w:rFonts w:ascii="仿宋_GB2312" w:eastAsia="仿宋_GB2312"/>
          <w:sz w:val="32"/>
          <w:szCs w:val="32"/>
        </w:rPr>
      </w:pPr>
      <w:r>
        <w:rPr>
          <w:rFonts w:hint="eastAsia" w:ascii="仿宋_GB2312" w:eastAsia="仿宋_GB2312"/>
          <w:sz w:val="32"/>
          <w:szCs w:val="32"/>
        </w:rPr>
        <w:t>辅修专业/辅修学士学位按学年收取，一次性缴清，</w:t>
      </w:r>
      <w:r>
        <w:rPr>
          <w:rFonts w:ascii="仿宋_GB2312" w:eastAsia="仿宋_GB2312"/>
          <w:sz w:val="32"/>
          <w:szCs w:val="32"/>
        </w:rPr>
        <w:t>未缴清学费的学生，视为自动放弃</w:t>
      </w:r>
      <w:r>
        <w:rPr>
          <w:rFonts w:hint="eastAsia" w:ascii="仿宋_GB2312" w:eastAsia="仿宋_GB2312"/>
          <w:sz w:val="32"/>
          <w:szCs w:val="32"/>
        </w:rPr>
        <w:t>辅修专业/辅修学士学位</w:t>
      </w:r>
      <w:r>
        <w:rPr>
          <w:rFonts w:ascii="仿宋_GB2312" w:eastAsia="仿宋_GB2312"/>
          <w:sz w:val="32"/>
          <w:szCs w:val="32"/>
        </w:rPr>
        <w:t>学籍</w:t>
      </w:r>
      <w:r>
        <w:rPr>
          <w:rFonts w:hint="eastAsia" w:ascii="仿宋_GB2312" w:eastAsia="仿宋_GB2312"/>
          <w:sz w:val="32"/>
          <w:szCs w:val="32"/>
        </w:rPr>
        <w:t>，若中途退出，所交费用一律不退。</w:t>
      </w:r>
    </w:p>
    <w:p w14:paraId="1B873A1C">
      <w:pPr>
        <w:ind w:firstLine="640" w:firstLineChars="200"/>
        <w:rPr>
          <w:rFonts w:ascii="仿宋_GB2312" w:eastAsia="仿宋_GB2312"/>
          <w:sz w:val="32"/>
          <w:szCs w:val="32"/>
        </w:rPr>
      </w:pPr>
      <w:r>
        <w:rPr>
          <w:rFonts w:hint="eastAsia" w:ascii="仿宋_GB2312" w:eastAsia="仿宋_GB2312"/>
          <w:sz w:val="32"/>
          <w:szCs w:val="32"/>
        </w:rPr>
        <w:t>第五条　教学管理</w:t>
      </w:r>
    </w:p>
    <w:p w14:paraId="7DC6E1A6">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辅修专业/辅修学士学位专业的分学期教学计划由承办学院根据学校主专业培养方案规定的辅修专业必修课程拟定。辅修专业/辅修学士学位教学班的教师聘请及日常教学管理由承办学院具体负责。</w:t>
      </w:r>
    </w:p>
    <w:p w14:paraId="136C499D">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辅修专业/辅修学士学位专业实行学分制管理。承办学院根据学生报名情况采取跟普通专业班学习或单独开设辅修专业班学习两种方式授课。单独开设辅修专业班上课时间原则上安排在双休日，上课教师的聘请及排课、课程考核等日常教学管理由承办学院具体负责安排。</w:t>
      </w:r>
    </w:p>
    <w:p w14:paraId="4341F84C">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辅修专业/辅修学士学位的课程（含毕业设计或毕业论文）教学要求、质量要求应与将本专业作为主修专业的要求相同。</w:t>
      </w:r>
    </w:p>
    <w:p w14:paraId="0E542AB1">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为保证教学的稳定性，教学计划一旦确定，学院原则上不得随意调整课程安排。</w:t>
      </w:r>
    </w:p>
    <w:p w14:paraId="74574F0A">
      <w:pPr>
        <w:ind w:firstLine="640" w:firstLineChars="200"/>
        <w:rPr>
          <w:rFonts w:ascii="仿宋_GB2312" w:eastAsia="仿宋_GB2312"/>
          <w:sz w:val="32"/>
          <w:szCs w:val="32"/>
        </w:rPr>
      </w:pPr>
      <w:r>
        <w:rPr>
          <w:rFonts w:hint="eastAsia" w:ascii="仿宋_GB2312" w:eastAsia="仿宋_GB2312"/>
          <w:sz w:val="32"/>
          <w:szCs w:val="32"/>
        </w:rPr>
        <w:t>第六条　凡获准修读辅修专业/辅修学士学位的学生应在每学期开学前根据选课通知在教务管理系统中选课或由承办学院预置课程上课，在承办学院指定的班级上课学习，接受考勤，按规定完成作业、实验、上机等教学要求，并在学习结束时参加课程的考核</w:t>
      </w:r>
      <w:r>
        <w:rPr>
          <w:rFonts w:ascii="仿宋_GB2312" w:eastAsia="仿宋_GB2312"/>
          <w:sz w:val="32"/>
          <w:szCs w:val="32"/>
        </w:rPr>
        <w:t>（</w:t>
      </w:r>
      <w:r>
        <w:rPr>
          <w:rFonts w:hint="eastAsia" w:ascii="仿宋_GB2312" w:eastAsia="仿宋_GB2312"/>
          <w:sz w:val="32"/>
          <w:szCs w:val="32"/>
        </w:rPr>
        <w:t>申请免修的课程除外</w:t>
      </w:r>
      <w:r>
        <w:rPr>
          <w:rFonts w:ascii="仿宋_GB2312" w:eastAsia="仿宋_GB2312"/>
          <w:sz w:val="32"/>
          <w:szCs w:val="32"/>
        </w:rPr>
        <w:t>）。</w:t>
      </w:r>
    </w:p>
    <w:p w14:paraId="16610767">
      <w:pPr>
        <w:ind w:firstLine="640" w:firstLineChars="200"/>
        <w:rPr>
          <w:rFonts w:ascii="仿宋_GB2312" w:eastAsia="仿宋_GB2312"/>
          <w:sz w:val="32"/>
          <w:szCs w:val="32"/>
        </w:rPr>
      </w:pPr>
      <w:r>
        <w:rPr>
          <w:rFonts w:hint="eastAsia" w:ascii="仿宋_GB2312" w:eastAsia="仿宋_GB2312"/>
          <w:sz w:val="32"/>
          <w:szCs w:val="32"/>
        </w:rPr>
        <w:t>第七条　成绩考核</w:t>
      </w:r>
    </w:p>
    <w:p w14:paraId="16F903A7">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学生须按教学计划修读规定课程并参加课程或教学实践环节的考核，成绩合格者即可取得相应学分。学生辅修专业/辅修学士学位的课程成绩记为“辅修”性质，记入学生成绩单，可以单独打印学生成绩单，也可以并入学生主</w:t>
      </w:r>
      <w:bookmarkStart w:id="0" w:name="_GoBack"/>
      <w:bookmarkEnd w:id="0"/>
      <w:r>
        <w:rPr>
          <w:rFonts w:hint="eastAsia" w:ascii="仿宋_GB2312" w:eastAsia="仿宋_GB2312"/>
          <w:sz w:val="32"/>
          <w:szCs w:val="32"/>
        </w:rPr>
        <w:t>专业成绩单。“辅修”性质课程不</w:t>
      </w:r>
      <w:r>
        <w:rPr>
          <w:rFonts w:hint="eastAsia" w:ascii="仿宋_GB2312" w:eastAsia="仿宋_GB2312"/>
          <w:sz w:val="32"/>
          <w:szCs w:val="32"/>
          <w:lang w:eastAsia="zh-CN"/>
        </w:rPr>
        <w:t>冲抵</w:t>
      </w:r>
      <w:r>
        <w:rPr>
          <w:rFonts w:hint="eastAsia" w:ascii="仿宋_GB2312" w:eastAsia="仿宋_GB2312"/>
          <w:sz w:val="32"/>
          <w:szCs w:val="32"/>
        </w:rPr>
        <w:t>主修专业学分，不纳入作为学生学业成绩排名的平均学分绩点计算范围，不影响学生在主修专业的学业成绩排名。</w:t>
      </w:r>
    </w:p>
    <w:p w14:paraId="0F78F84F">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学生在主修专业已修读过</w:t>
      </w:r>
      <w:r>
        <w:rPr>
          <w:rFonts w:hint="eastAsia" w:ascii="仿宋_GB2312" w:eastAsia="仿宋_GB2312"/>
          <w:sz w:val="32"/>
          <w:szCs w:val="32"/>
          <w:lang w:eastAsia="zh-CN"/>
        </w:rPr>
        <w:t>且</w:t>
      </w:r>
      <w:r>
        <w:rPr>
          <w:rFonts w:hint="eastAsia" w:ascii="仿宋_GB2312" w:eastAsia="仿宋_GB2312"/>
          <w:sz w:val="32"/>
          <w:szCs w:val="32"/>
        </w:rPr>
        <w:t>课程规格和学分不低于辅修专业/辅修学士学位教学计划要求的课程，成绩合格且已取得相应学分者可申请免修。</w:t>
      </w:r>
    </w:p>
    <w:p w14:paraId="014E1BAC">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）单独开班的</w:t>
      </w:r>
      <w:r>
        <w:rPr>
          <w:rFonts w:hint="eastAsia" w:ascii="仿宋_GB2312" w:eastAsia="仿宋_GB2312"/>
          <w:sz w:val="32"/>
          <w:szCs w:val="32"/>
        </w:rPr>
        <w:t>辅修专业/辅修学士学位课程考试原则上不受理缓考申请，不设置补考环节，学生在修读辅修专业/辅修学士学位课程考试不及格应重新选课学习。</w:t>
      </w:r>
    </w:p>
    <w:p w14:paraId="08131905">
      <w:pPr>
        <w:ind w:firstLine="640" w:firstLineChars="200"/>
        <w:rPr>
          <w:rFonts w:ascii="仿宋_GB2312" w:eastAsia="仿宋_GB2312"/>
          <w:sz w:val="32"/>
          <w:szCs w:val="32"/>
        </w:rPr>
      </w:pPr>
      <w:r>
        <w:rPr>
          <w:rFonts w:hint="eastAsia" w:ascii="仿宋_GB2312" w:eastAsia="仿宋_GB2312"/>
          <w:sz w:val="32"/>
          <w:szCs w:val="32"/>
        </w:rPr>
        <w:t>第八条　学籍管理</w:t>
      </w:r>
    </w:p>
    <w:p w14:paraId="4095BCEA">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修读辅修专业/辅修学士学位专业的学生不变更学籍，仍由主修专业所在学院管理。</w:t>
      </w:r>
    </w:p>
    <w:p w14:paraId="61AFA62D">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终止辅修专业/辅修学士学位专业学习的学生需在规定时间内到承办学院办理退修手续，所学的辅修专业/辅修学士学位专业的课程学分可转换为主修专业的个性选修课。</w:t>
      </w:r>
    </w:p>
    <w:p w14:paraId="0F48DB07">
      <w:pPr>
        <w:ind w:firstLine="640" w:firstLineChars="200"/>
        <w:rPr>
          <w:rFonts w:ascii="仿宋_GB2312" w:eastAsia="仿宋_GB2312"/>
          <w:sz w:val="32"/>
          <w:szCs w:val="32"/>
        </w:rPr>
      </w:pPr>
      <w:r>
        <w:rPr>
          <w:rFonts w:hint="eastAsia" w:ascii="仿宋_GB2312" w:eastAsia="仿宋_GB2312"/>
          <w:sz w:val="32"/>
          <w:szCs w:val="32"/>
        </w:rPr>
        <w:t>第九条　修读证书及学位认定</w:t>
      </w:r>
    </w:p>
    <w:p w14:paraId="00651E85">
      <w:pPr>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学生修业期满后，由各承办学院对学生辅修专业/辅修学士学位专业的各学习项目考核成绩、取得的总学分、毕业设计（论文</w:t>
      </w:r>
      <w:r>
        <w:rPr>
          <w:rFonts w:ascii="仿宋_GB2312" w:eastAsia="仿宋_GB2312"/>
          <w:sz w:val="32"/>
          <w:szCs w:val="32"/>
        </w:rPr>
        <w:t>）</w:t>
      </w:r>
      <w:r>
        <w:rPr>
          <w:rFonts w:hint="eastAsia" w:ascii="仿宋_GB2312" w:eastAsia="仿宋_GB2312"/>
          <w:sz w:val="32"/>
          <w:szCs w:val="32"/>
        </w:rPr>
        <w:t>成绩等逐项进行审核，提出拟授予辅修学士学位学生名单，由学院学位分委员会主任签署意见后交教务处，教务处提交校学位审定委员会审查。</w:t>
      </w:r>
    </w:p>
    <w:p w14:paraId="4106A2B3">
      <w:pPr>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在规定学习年限内取得主修专业所属学科的学士学位的学生，修满辅修专业/辅修学士学位专业教学计划规定的全部学分，颁发“南昌大学辅修专业证书”，同时符合学校学士学位授予有关规定，经南昌大学学位评定委员会审查通过，在主修学士学位证书中标注辅修学士学位。</w:t>
      </w:r>
    </w:p>
    <w:p w14:paraId="4E8A0E91">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学生获得主修学士学位证书前，如未能修满辅修专业/辅修学士学位专业教学计划规定的全部学分，则仅提供学习成绩证明。</w:t>
      </w:r>
    </w:p>
    <w:p w14:paraId="32F5FED4">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学生满足辅修专业/辅修学士学位授予的条件，但主修专业暂未完成学业，须在学校规定时间先完成主修专业的学业。在符合主修学士学位授予条件的情况下，经学生本人申请，可颁发“南昌大学辅修专业毕业证书”并在主修学士学位证书注明辅修学士学位。</w:t>
      </w:r>
    </w:p>
    <w:p w14:paraId="7D88321E">
      <w:pPr>
        <w:ind w:firstLine="640" w:firstLineChars="200"/>
        <w:rPr>
          <w:rFonts w:hint="eastAsia" w:ascii="仿宋_GB2312" w:eastAsia="仿宋_GB2312"/>
          <w:sz w:val="32"/>
          <w:szCs w:val="32"/>
        </w:rPr>
      </w:pPr>
      <w:r>
        <w:rPr>
          <w:rFonts w:hint="eastAsia" w:ascii="仿宋_GB2312" w:eastAsia="仿宋_GB2312"/>
          <w:sz w:val="32"/>
          <w:szCs w:val="32"/>
        </w:rPr>
        <w:t>第十条　本办法自2020年报名修读辅修专业/辅修学士学位的学生起实施，由教务处负责解释，原《南昌大学全日制本科学生修读双学位、辅修专业管理办法（修订）》同时废止。</w:t>
      </w:r>
    </w:p>
    <w:p w14:paraId="431F1DA2">
      <w:pPr>
        <w:ind w:firstLine="640" w:firstLineChars="200"/>
        <w:rPr>
          <w:rFonts w:hint="eastAsia" w:ascii="仿宋_GB2312" w:eastAsia="仿宋_GB2312"/>
          <w:sz w:val="32"/>
          <w:szCs w:val="32"/>
        </w:rPr>
      </w:pPr>
    </w:p>
    <w:p w14:paraId="1024E06A">
      <w:pPr>
        <w:ind w:firstLine="640" w:firstLineChars="200"/>
        <w:rPr>
          <w:rFonts w:hint="eastAsia" w:ascii="仿宋_GB2312" w:eastAsia="仿宋_GB2312"/>
          <w:sz w:val="32"/>
          <w:szCs w:val="32"/>
        </w:rPr>
      </w:pPr>
    </w:p>
    <w:p w14:paraId="289064CF">
      <w:pPr>
        <w:ind w:firstLine="640" w:firstLineChars="200"/>
        <w:rPr>
          <w:rFonts w:hint="eastAsia" w:ascii="仿宋_GB2312" w:eastAsia="仿宋_GB2312"/>
          <w:sz w:val="32"/>
          <w:szCs w:val="32"/>
        </w:rPr>
      </w:pPr>
    </w:p>
    <w:p w14:paraId="62701D26">
      <w:pPr>
        <w:ind w:firstLine="640" w:firstLineChars="200"/>
        <w:rPr>
          <w:rFonts w:hint="eastAsia" w:ascii="仿宋_GB2312" w:eastAsia="仿宋_GB2312"/>
          <w:sz w:val="32"/>
          <w:szCs w:val="32"/>
        </w:rPr>
      </w:pPr>
    </w:p>
    <w:p w14:paraId="4235E365">
      <w:pPr>
        <w:ind w:firstLine="640" w:firstLineChars="200"/>
        <w:rPr>
          <w:rFonts w:hint="eastAsia" w:ascii="仿宋_GB2312" w:eastAsia="仿宋_GB2312"/>
          <w:sz w:val="32"/>
          <w:szCs w:val="32"/>
        </w:rPr>
      </w:pPr>
    </w:p>
    <w:p w14:paraId="177F5FD1">
      <w:pPr>
        <w:ind w:firstLine="640" w:firstLineChars="200"/>
        <w:rPr>
          <w:rFonts w:hint="eastAsia" w:ascii="仿宋_GB2312" w:eastAsia="仿宋_GB2312"/>
          <w:sz w:val="32"/>
          <w:szCs w:val="32"/>
        </w:rPr>
      </w:pPr>
    </w:p>
    <w:p w14:paraId="6D0EF0D9">
      <w:pPr>
        <w:ind w:firstLine="640" w:firstLineChars="200"/>
        <w:rPr>
          <w:rFonts w:hint="eastAsia" w:ascii="仿宋_GB2312" w:eastAsia="仿宋_GB2312"/>
          <w:sz w:val="32"/>
          <w:szCs w:val="32"/>
        </w:rPr>
      </w:pPr>
    </w:p>
    <w:p w14:paraId="4111D4F8">
      <w:pPr>
        <w:ind w:firstLine="640" w:firstLineChars="200"/>
        <w:rPr>
          <w:rFonts w:hint="eastAsia" w:ascii="仿宋_GB2312" w:eastAsia="仿宋_GB2312"/>
          <w:sz w:val="32"/>
          <w:szCs w:val="32"/>
        </w:rPr>
      </w:pPr>
    </w:p>
    <w:p w14:paraId="414E2FDB">
      <w:pPr>
        <w:ind w:firstLine="640" w:firstLineChars="200"/>
        <w:rPr>
          <w:rFonts w:hint="eastAsia" w:ascii="仿宋_GB2312" w:eastAsia="仿宋_GB2312"/>
          <w:sz w:val="32"/>
          <w:szCs w:val="32"/>
        </w:rPr>
      </w:pPr>
    </w:p>
    <w:p w14:paraId="1EAF09C8">
      <w:pPr>
        <w:ind w:firstLine="640" w:firstLineChars="200"/>
        <w:rPr>
          <w:rFonts w:hint="eastAsia" w:ascii="仿宋_GB2312" w:eastAsia="仿宋_GB2312"/>
          <w:sz w:val="32"/>
          <w:szCs w:val="32"/>
        </w:rPr>
      </w:pPr>
    </w:p>
    <w:p w14:paraId="24982392">
      <w:pPr>
        <w:ind w:firstLine="640" w:firstLineChars="200"/>
        <w:rPr>
          <w:rFonts w:hint="eastAsia" w:ascii="仿宋_GB2312" w:eastAsia="仿宋_GB2312"/>
          <w:sz w:val="32"/>
          <w:szCs w:val="32"/>
        </w:rPr>
      </w:pPr>
    </w:p>
    <w:p w14:paraId="664AFBCF">
      <w:pPr>
        <w:ind w:firstLine="640" w:firstLineChars="200"/>
        <w:rPr>
          <w:rFonts w:hint="eastAsia" w:ascii="仿宋_GB2312" w:eastAsia="仿宋_GB2312"/>
          <w:sz w:val="32"/>
          <w:szCs w:val="32"/>
        </w:rPr>
      </w:pPr>
    </w:p>
    <w:p w14:paraId="0AC37079">
      <w:pPr>
        <w:ind w:firstLine="640" w:firstLineChars="200"/>
        <w:rPr>
          <w:rFonts w:hint="eastAsia" w:ascii="仿宋_GB2312" w:eastAsia="仿宋_GB2312"/>
          <w:sz w:val="32"/>
          <w:szCs w:val="32"/>
        </w:rPr>
      </w:pPr>
    </w:p>
    <w:p w14:paraId="32C8C209">
      <w:pPr>
        <w:ind w:firstLine="640" w:firstLineChars="200"/>
        <w:rPr>
          <w:rFonts w:hint="eastAsia" w:ascii="仿宋_GB2312" w:eastAsia="仿宋_GB2312"/>
          <w:sz w:val="32"/>
          <w:szCs w:val="32"/>
        </w:rPr>
      </w:pPr>
    </w:p>
    <w:p w14:paraId="66F3EF97">
      <w:pPr>
        <w:ind w:firstLine="640" w:firstLineChars="200"/>
        <w:rPr>
          <w:rFonts w:hint="eastAsia" w:ascii="仿宋_GB2312" w:eastAsia="仿宋_GB2312"/>
          <w:sz w:val="32"/>
          <w:szCs w:val="32"/>
        </w:rPr>
      </w:pPr>
    </w:p>
    <w:p w14:paraId="386D18C5">
      <w:pPr>
        <w:ind w:firstLine="640" w:firstLineChars="200"/>
        <w:rPr>
          <w:rFonts w:hint="eastAsia" w:ascii="仿宋_GB2312" w:eastAsia="仿宋_GB2312"/>
          <w:sz w:val="32"/>
          <w:szCs w:val="32"/>
        </w:rPr>
      </w:pPr>
    </w:p>
    <w:p w14:paraId="4D3F276C">
      <w:pPr>
        <w:ind w:firstLine="640" w:firstLineChars="200"/>
        <w:rPr>
          <w:rFonts w:hint="eastAsia" w:ascii="仿宋_GB2312" w:eastAsia="仿宋_GB2312"/>
          <w:sz w:val="32"/>
          <w:szCs w:val="32"/>
        </w:rPr>
      </w:pPr>
    </w:p>
    <w:p w14:paraId="0F2A4DED">
      <w:pPr>
        <w:ind w:firstLine="640" w:firstLineChars="200"/>
        <w:rPr>
          <w:rFonts w:hint="eastAsia" w:ascii="仿宋_GB2312" w:eastAsia="仿宋_GB2312"/>
          <w:sz w:val="32"/>
          <w:szCs w:val="32"/>
        </w:rPr>
      </w:pP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14:paraId="003BBC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noWrap w:val="0"/>
            <w:vAlign w:val="top"/>
          </w:tcPr>
          <w:p w14:paraId="5F56553D">
            <w:pPr>
              <w:jc w:val="left"/>
              <w:rPr>
                <w:rFonts w:ascii="仿宋_GB2312" w:hAnsi="仿宋" w:eastAsia="仿宋_GB2312"/>
                <w:sz w:val="32"/>
                <w:szCs w:val="32"/>
                <w:lang w:val="zh-CN"/>
              </w:rPr>
            </w:pPr>
            <w:r>
              <w:rPr>
                <w:rFonts w:hint="eastAsia" w:ascii="仿宋_GB2312" w:hAnsi="仿宋" w:eastAsia="仿宋_GB2312"/>
                <w:sz w:val="32"/>
                <w:szCs w:val="32"/>
                <w:lang w:val="zh-CN"/>
              </w:rPr>
              <w:t>南昌大学教务处</w:t>
            </w:r>
          </w:p>
        </w:tc>
        <w:tc>
          <w:tcPr>
            <w:tcW w:w="4436" w:type="dxa"/>
            <w:tcBorders>
              <w:top w:val="single" w:color="auto" w:sz="12" w:space="0"/>
              <w:left w:val="nil"/>
              <w:bottom w:val="single" w:color="auto" w:sz="12" w:space="0"/>
              <w:right w:val="nil"/>
            </w:tcBorders>
            <w:noWrap w:val="0"/>
            <w:vAlign w:val="top"/>
          </w:tcPr>
          <w:p w14:paraId="5B249908">
            <w:pPr>
              <w:wordWrap w:val="0"/>
              <w:ind w:right="140"/>
              <w:jc w:val="right"/>
              <w:rPr>
                <w:rFonts w:ascii="仿宋_GB2312" w:hAnsi="仿宋" w:eastAsia="仿宋_GB2312"/>
                <w:sz w:val="32"/>
                <w:szCs w:val="32"/>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r>
              <w:rPr>
                <w:rFonts w:hint="eastAsia" w:ascii="仿宋_GB2312" w:hAnsi="仿宋" w:eastAsia="仿宋_GB2312"/>
                <w:sz w:val="32"/>
                <w:szCs w:val="32"/>
                <w:lang w:val="zh-CN"/>
              </w:rPr>
              <w:t>印发</w:t>
            </w:r>
          </w:p>
        </w:tc>
      </w:tr>
    </w:tbl>
    <w:p w14:paraId="17FED69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DBSK--GBK1-0">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i Baiti">
    <w:panose1 w:val="03000500000000000000"/>
    <w:charset w:val="00"/>
    <w:family w:val="script"/>
    <w:pitch w:val="default"/>
    <w:sig w:usb0="80000003" w:usb1="00010402" w:usb2="00080002"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1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9435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79435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CF"/>
    <w:rsid w:val="00073559"/>
    <w:rsid w:val="0008704B"/>
    <w:rsid w:val="000B5957"/>
    <w:rsid w:val="000C50BF"/>
    <w:rsid w:val="000F2031"/>
    <w:rsid w:val="001F744A"/>
    <w:rsid w:val="0021159A"/>
    <w:rsid w:val="002A0B11"/>
    <w:rsid w:val="003317F2"/>
    <w:rsid w:val="00371D35"/>
    <w:rsid w:val="00404229"/>
    <w:rsid w:val="00422E66"/>
    <w:rsid w:val="004A49FE"/>
    <w:rsid w:val="00540497"/>
    <w:rsid w:val="0054349B"/>
    <w:rsid w:val="00543A88"/>
    <w:rsid w:val="00566625"/>
    <w:rsid w:val="005A1983"/>
    <w:rsid w:val="005E3C3E"/>
    <w:rsid w:val="00620209"/>
    <w:rsid w:val="006471E2"/>
    <w:rsid w:val="006749C4"/>
    <w:rsid w:val="007069F6"/>
    <w:rsid w:val="00723F0E"/>
    <w:rsid w:val="00834AD7"/>
    <w:rsid w:val="008A10BD"/>
    <w:rsid w:val="008B64C6"/>
    <w:rsid w:val="008F7829"/>
    <w:rsid w:val="00900C85"/>
    <w:rsid w:val="00920CF6"/>
    <w:rsid w:val="00943BCB"/>
    <w:rsid w:val="00963D06"/>
    <w:rsid w:val="00964454"/>
    <w:rsid w:val="009667EE"/>
    <w:rsid w:val="00AC2996"/>
    <w:rsid w:val="00AD12A8"/>
    <w:rsid w:val="00B20A72"/>
    <w:rsid w:val="00B90A18"/>
    <w:rsid w:val="00C61FF0"/>
    <w:rsid w:val="00D6097E"/>
    <w:rsid w:val="00D616AD"/>
    <w:rsid w:val="00D8186D"/>
    <w:rsid w:val="00D902CF"/>
    <w:rsid w:val="00DB5208"/>
    <w:rsid w:val="00DD2389"/>
    <w:rsid w:val="00DE21A9"/>
    <w:rsid w:val="00E12ACA"/>
    <w:rsid w:val="00ED6E0B"/>
    <w:rsid w:val="00F63722"/>
    <w:rsid w:val="00F66702"/>
    <w:rsid w:val="00F879B6"/>
    <w:rsid w:val="04C6634E"/>
    <w:rsid w:val="1B0031A7"/>
    <w:rsid w:val="21795BF8"/>
    <w:rsid w:val="396321C8"/>
    <w:rsid w:val="410F6C8A"/>
    <w:rsid w:val="42200842"/>
    <w:rsid w:val="48503472"/>
    <w:rsid w:val="4A7D004D"/>
    <w:rsid w:val="5C9E53E9"/>
    <w:rsid w:val="62286FAD"/>
    <w:rsid w:val="7F7A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2058</Words>
  <Characters>2099</Characters>
  <Lines>14</Lines>
  <Paragraphs>4</Paragraphs>
  <TotalTime>1</TotalTime>
  <ScaleCrop>false</ScaleCrop>
  <LinksUpToDate>false</LinksUpToDate>
  <CharactersWithSpaces>2152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2020-10-08T00:39:00Z</dcterms:created>
  <dc:creator>肖教燎</dc:creator>
  <cp:lastModifiedBy>花花不加糖耶</cp:lastModifiedBy>
  <cp:lastPrinted>2021-04-08T08:55:00Z</cp:lastPrinted>
  <dcterms:modified xsi:type="dcterms:W3CDTF">2025-04-28T01:38:47Z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1826AED5710248059E31C6DADAC68E60</vt:lpwstr>
  </property>
  <property fmtid="{D5CDD505-2E9C-101B-9397-08002B2CF9AE}" pid="4" name="KSOTemplateDocerSaveRecord">
    <vt:lpwstr>eyJoZGlkIjoiOWI4MGNhN2ZlZTlhNWRmNGE0ZWQ1NTg2YjQwMjViOWYiLCJ1c2VySWQiOiI2NjY0NTQxNDAifQ==</vt:lpwstr>
  </property>
</Properties>
</file>