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仿宋"/>
          <w:color w:val="FF0000"/>
          <w:w w:val="80"/>
          <w:sz w:val="84"/>
          <w:szCs w:val="84"/>
        </w:rPr>
      </w:pPr>
      <w:r>
        <w:rPr>
          <w:rFonts w:hint="eastAsia" w:ascii="宋体" w:hAnsi="宋体" w:eastAsia="宋体" w:cs="仿宋"/>
          <w:color w:val="FF0000"/>
          <w:w w:val="80"/>
          <w:sz w:val="84"/>
          <w:szCs w:val="84"/>
        </w:rPr>
        <w:t>南 昌 大 学 部 门 函 件</w:t>
      </w:r>
    </w:p>
    <w:p>
      <w:pPr>
        <w:tabs>
          <w:tab w:val="left" w:pos="180"/>
        </w:tabs>
        <w:jc w:val="center"/>
        <w:rPr>
          <w:rFonts w:ascii="Times New Roman" w:hAnsi="Times New Roman" w:eastAsia="宋体" w:cs="Times New Roman"/>
          <w:sz w:val="28"/>
          <w:szCs w:val="28"/>
          <w:u w:val="thick"/>
        </w:rPr>
      </w:pPr>
      <w:r>
        <w:rPr>
          <w:rFonts w:ascii="Times New Roman" w:hAnsi="Times New Roman" w:eastAsia="宋体" w:cs="Times New Roman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9525" t="6985" r="13335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5.4pt;height:0.7pt;width:442.2pt;z-index:251660288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r7pW1gAAAAYBAAAP&#10;AAAAAAAAAAEAIAAAACIAAABkcnMvZG93bnJldi54bWxQSwECFAAUAAAACACHTuJAeyPDu+EBAACC&#10;AwAADgAAAAAAAAABACAAAAAlAQAAZHJzL2Uyb0RvYy54bWxQSwUGAAAAAAYABgBZAQAAe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19050" t="17780" r="13335" b="196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1pt;height:0.8pt;width:442.2pt;z-index:251659264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Vb1i9MAAAAGAQAADwAA&#10;AAAAAAABACAAAAAiAAAAZHJzL2Rvd25yZXYueG1sUEsBAhQAFAAAAAgAh07iQLijuzbiAQAAhAMA&#10;AA4AAAAAAAAAAQAgAAAAIgEAAGRycy9lMm9Eb2MueG1sUEsFBgAAAAAGAAYAWQEAAHY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jc w:val="righ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南大教函〔</w:t>
      </w:r>
      <w:r>
        <w:rPr>
          <w:rFonts w:ascii="仿宋_GB2312" w:hAnsi="宋体" w:eastAsia="仿宋_GB2312" w:cs="Arial"/>
          <w:sz w:val="32"/>
          <w:szCs w:val="32"/>
        </w:rPr>
        <w:t>20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 w:cs="Arial"/>
          <w:sz w:val="32"/>
          <w:szCs w:val="32"/>
        </w:rPr>
        <w:t>〕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关于印发《南昌大学本科学生转专业（类）实施办法（</w:t>
      </w:r>
      <w:r>
        <w:rPr>
          <w:rFonts w:ascii="宋体" w:hAnsi="宋体" w:eastAsia="宋体" w:cs="Times New Roman"/>
          <w:b/>
          <w:bCs/>
          <w:sz w:val="36"/>
          <w:szCs w:val="36"/>
        </w:rPr>
        <w:t>2020年修订）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》的通知</w:t>
      </w:r>
    </w:p>
    <w:p>
      <w:pPr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各学院（部）：</w:t>
      </w:r>
    </w:p>
    <w:p>
      <w:pPr>
        <w:ind w:firstLine="640"/>
        <w:rPr>
          <w:rFonts w:ascii="仿宋_GB2312" w:hAnsi="宋体" w:eastAsia="仿宋_GB2312" w:cs="宋体"/>
          <w:kern w:val="0"/>
          <w:sz w:val="32"/>
          <w:szCs w:val="30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为鼓励学生的个性发展，提高学生学习的积极性、主动性，营造有利于人才成长的学习环境，现对《南昌大学本科学生转专业（类）实施办法（</w:t>
      </w:r>
      <w:r>
        <w:rPr>
          <w:rFonts w:ascii="仿宋_GB2312" w:hAnsi="Times New Roman" w:eastAsia="仿宋_GB2312" w:cs="Times New Roman"/>
          <w:sz w:val="32"/>
          <w:szCs w:val="32"/>
        </w:rPr>
        <w:t>2020年修订）》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予以印发，请遵照执行</w:t>
      </w:r>
      <w:r>
        <w:rPr>
          <w:rFonts w:hint="eastAsia" w:ascii="仿宋_GB2312" w:hAnsi="宋体" w:eastAsia="仿宋_GB2312" w:cs="宋体"/>
          <w:kern w:val="0"/>
          <w:sz w:val="32"/>
          <w:szCs w:val="30"/>
        </w:rPr>
        <w:t>。</w:t>
      </w:r>
    </w:p>
    <w:p>
      <w:pPr>
        <w:ind w:firstLine="640"/>
        <w:rPr>
          <w:rFonts w:ascii="仿宋_GB2312" w:hAnsi="宋体" w:eastAsia="仿宋_GB2312" w:cs="宋体"/>
          <w:kern w:val="0"/>
          <w:sz w:val="32"/>
          <w:szCs w:val="30"/>
        </w:rPr>
      </w:pPr>
    </w:p>
    <w:p>
      <w:pPr>
        <w:ind w:firstLine="640"/>
        <w:rPr>
          <w:rFonts w:ascii="仿宋_GB2312" w:hAnsi="宋体" w:eastAsia="仿宋_GB2312" w:cs="宋体"/>
          <w:kern w:val="0"/>
          <w:sz w:val="32"/>
          <w:szCs w:val="30"/>
        </w:rPr>
      </w:pPr>
    </w:p>
    <w:p>
      <w:pPr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 xml:space="preserve">                                        教务处</w:t>
      </w:r>
    </w:p>
    <w:p>
      <w:pPr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 xml:space="preserve">                                   </w:t>
      </w:r>
      <w:r>
        <w:rPr>
          <w:rFonts w:ascii="仿宋_GB2312" w:hAnsi="宋体" w:eastAsia="仿宋_GB2312" w:cs="Times New Roman"/>
          <w:bCs/>
          <w:sz w:val="32"/>
          <w:szCs w:val="32"/>
        </w:rPr>
        <w:t>2020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</w:t>
      </w:r>
      <w:r>
        <w:rPr>
          <w:rFonts w:ascii="仿宋_GB2312" w:hAnsi="宋体" w:eastAsia="仿宋_GB2312" w:cs="Times New Roman"/>
          <w:bCs/>
          <w:sz w:val="32"/>
          <w:szCs w:val="32"/>
        </w:rPr>
        <w:t>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月1</w:t>
      </w:r>
      <w:r>
        <w:rPr>
          <w:rFonts w:ascii="仿宋_GB2312" w:hAnsi="宋体" w:eastAsia="仿宋_GB2312" w:cs="Times New Roman"/>
          <w:bCs/>
          <w:sz w:val="32"/>
          <w:szCs w:val="32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日</w:t>
      </w:r>
    </w:p>
    <w:p>
      <w:pPr>
        <w:rPr>
          <w:rFonts w:ascii="仿宋_GB2312" w:hAnsi="宋体" w:eastAsia="仿宋_GB2312" w:cs="Times New Roman"/>
          <w:bCs/>
          <w:sz w:val="32"/>
          <w:szCs w:val="32"/>
        </w:rPr>
      </w:pPr>
    </w:p>
    <w:p>
      <w:pPr>
        <w:rPr>
          <w:rFonts w:ascii="仿宋_GB2312" w:hAnsi="宋体" w:eastAsia="仿宋_GB2312" w:cs="Times New Roman"/>
          <w:bCs/>
          <w:sz w:val="32"/>
          <w:szCs w:val="32"/>
        </w:rPr>
      </w:pPr>
    </w:p>
    <w:p>
      <w:pPr>
        <w:rPr>
          <w:rFonts w:ascii="仿宋_GB2312" w:hAnsi="宋体" w:eastAsia="仿宋_GB2312" w:cs="Times New Roman"/>
          <w:bCs/>
          <w:sz w:val="32"/>
          <w:szCs w:val="32"/>
        </w:rPr>
      </w:pPr>
    </w:p>
    <w:p>
      <w:pPr>
        <w:rPr>
          <w:rFonts w:ascii="仿宋_GB2312" w:hAnsi="宋体" w:eastAsia="仿宋_GB2312" w:cs="Times New Roman"/>
          <w:bCs/>
          <w:sz w:val="32"/>
          <w:szCs w:val="32"/>
        </w:rPr>
      </w:pPr>
    </w:p>
    <w:p>
      <w:pPr>
        <w:rPr>
          <w:rFonts w:ascii="仿宋_GB2312" w:hAnsi="宋体" w:eastAsia="仿宋_GB2312" w:cs="Times New Roman"/>
          <w:bCs/>
          <w:sz w:val="32"/>
          <w:szCs w:val="32"/>
        </w:rPr>
      </w:pPr>
    </w:p>
    <w:p>
      <w:pPr>
        <w:rPr>
          <w:rFonts w:ascii="仿宋_GB2312" w:hAnsi="宋体" w:eastAsia="仿宋_GB2312" w:cs="Times New Roman"/>
          <w:bCs/>
          <w:sz w:val="32"/>
          <w:szCs w:val="32"/>
        </w:rPr>
      </w:pPr>
    </w:p>
    <w:p>
      <w:pPr>
        <w:widowControl/>
        <w:shd w:val="clear" w:color="auto" w:fill="FFFFFF"/>
        <w:spacing w:before="100" w:beforeAutospacing="1" w:line="288" w:lineRule="atLeast"/>
        <w:jc w:val="center"/>
        <w:outlineLvl w:val="1"/>
        <w:rPr>
          <w:rFonts w:hint="eastAsia" w:ascii="宋体" w:hAnsi="宋体" w:eastAsia="宋体" w:cs="宋体"/>
          <w:b/>
          <w:bCs/>
          <w:caps/>
          <w:kern w:val="0"/>
          <w:sz w:val="36"/>
          <w:szCs w:val="36"/>
        </w:rPr>
      </w:pPr>
    </w:p>
    <w:p>
      <w:pPr>
        <w:widowControl/>
        <w:shd w:val="clear" w:color="auto" w:fill="FFFFFF"/>
        <w:spacing w:before="100" w:beforeAutospacing="1" w:line="288" w:lineRule="atLeast"/>
        <w:jc w:val="center"/>
        <w:outlineLvl w:val="1"/>
        <w:rPr>
          <w:rFonts w:hint="eastAsia" w:ascii="宋体" w:hAnsi="宋体" w:eastAsia="宋体" w:cs="宋体"/>
          <w:b/>
          <w:bCs/>
          <w:cap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aps/>
          <w:kern w:val="0"/>
          <w:sz w:val="36"/>
          <w:szCs w:val="36"/>
        </w:rPr>
        <w:t>南昌大学本科学生转专业（类）实施办法</w:t>
      </w:r>
    </w:p>
    <w:p>
      <w:pPr>
        <w:widowControl/>
        <w:shd w:val="clear" w:color="auto" w:fill="FFFFFF"/>
        <w:spacing w:line="288" w:lineRule="atLeast"/>
        <w:jc w:val="center"/>
        <w:outlineLvl w:val="1"/>
        <w:rPr>
          <w:rFonts w:ascii="微软雅黑" w:hAnsi="微软雅黑" w:eastAsia="微软雅黑" w:cs="Tahoma"/>
          <w:b/>
          <w:bCs/>
          <w:caps/>
          <w:kern w:val="0"/>
          <w:sz w:val="24"/>
          <w:szCs w:val="36"/>
        </w:rPr>
      </w:pPr>
      <w:r>
        <w:rPr>
          <w:rFonts w:hint="eastAsia" w:ascii="微软雅黑" w:hAnsi="微软雅黑" w:eastAsia="微软雅黑" w:cs="Tahoma"/>
          <w:b/>
          <w:bCs/>
          <w:caps/>
          <w:kern w:val="0"/>
          <w:sz w:val="24"/>
          <w:szCs w:val="36"/>
        </w:rPr>
        <w:t>（20</w:t>
      </w:r>
      <w:r>
        <w:rPr>
          <w:rFonts w:ascii="微软雅黑" w:hAnsi="微软雅黑" w:eastAsia="微软雅黑" w:cs="Tahoma"/>
          <w:b/>
          <w:bCs/>
          <w:caps/>
          <w:kern w:val="0"/>
          <w:sz w:val="24"/>
          <w:szCs w:val="36"/>
        </w:rPr>
        <w:t>20</w:t>
      </w:r>
      <w:r>
        <w:rPr>
          <w:rFonts w:hint="eastAsia" w:ascii="微软雅黑" w:hAnsi="微软雅黑" w:eastAsia="微软雅黑" w:cs="Tahoma"/>
          <w:b/>
          <w:bCs/>
          <w:caps/>
          <w:kern w:val="0"/>
          <w:sz w:val="24"/>
          <w:szCs w:val="36"/>
        </w:rPr>
        <w:t>年修订）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为鼓励学生的个性发展，提高学生学习的积极性、主动性，营造有利于人才成长的学习环境，根据《普通高等学校学生管理规定》（教育部令第</w:t>
      </w:r>
      <w:r>
        <w:rPr>
          <w:rFonts w:ascii="仿宋_GB2312" w:eastAsia="仿宋_GB2312"/>
          <w:sz w:val="32"/>
          <w:szCs w:val="32"/>
        </w:rPr>
        <w:t>41号）</w:t>
      </w:r>
      <w:r>
        <w:rPr>
          <w:rFonts w:hint="eastAsia" w:ascii="仿宋_GB2312" w:eastAsia="仿宋_GB2312"/>
          <w:sz w:val="32"/>
          <w:szCs w:val="32"/>
        </w:rPr>
        <w:t>、《南昌大学本科学生学籍管理实施细则（2017年修订）》（南大学字[2017]195号）等文件，特制定本办法。</w:t>
      </w:r>
    </w:p>
    <w:p>
      <w:pPr>
        <w:widowControl/>
        <w:shd w:val="clear" w:color="auto" w:fill="FFFFFF"/>
        <w:spacing w:line="324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 学校转专业（类）实行“学校统筹、学院自主、学生自愿、择优录取”的工作原则，由学校统一安排，各学院制定具体实施细则，学生自愿申请。转专业（类）工作按照公开、公平、公正的原则进行。</w:t>
      </w:r>
    </w:p>
    <w:p>
      <w:pPr>
        <w:widowControl/>
        <w:shd w:val="clear" w:color="auto" w:fill="FFFFFF"/>
        <w:spacing w:line="324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 xml:space="preserve">  本办法适用于我校全日制本科学生。</w:t>
      </w:r>
    </w:p>
    <w:p>
      <w:pPr>
        <w:widowControl/>
        <w:shd w:val="clear" w:color="auto" w:fill="FFFFFF"/>
        <w:spacing w:line="324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 有下列情形之一者，不予转专业（类）：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（一）招生时确定为定向就业、委托培养的学生；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（二）国家有相关规定或者录取前与学校有明确约定不转专业（类）的学生；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（三）学校当年招生简章有明确说明不能转专业（类）的学生；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（四）单独招生考试录取的学生；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（五）享受招生政策降分录取的特殊专业（类）学生；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（六）正在休学或者保留入学资格或者保留学籍的学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生；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</w:t>
      </w:r>
      <w:r>
        <w:rPr>
          <w:rFonts w:ascii="仿宋_GB2312" w:eastAsia="仿宋_GB2312"/>
          <w:sz w:val="32"/>
          <w:szCs w:val="32"/>
        </w:rPr>
        <w:t>应予以退学的学生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324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高考为理工类学生可选择全校所有非艺术体育类专业（类）；高考为文史类学生限选招收文史类或文理兼招类专业（类）；艺术类、体育类学生，只能在原专业大类内转专业；高水平运动员可选择体育类专业；按选考科目分类招生的学生原则上应在相应选考科目范围内转专业（类）。</w:t>
      </w:r>
    </w:p>
    <w:p>
      <w:pPr>
        <w:widowControl/>
        <w:shd w:val="clear" w:color="auto" w:fill="FFFFFF"/>
        <w:spacing w:line="324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 xml:space="preserve">  除中外合作办学专业（类）学生外，其他学生在校学习期间可以申请转专业（类）。转专业（类）学生在校最长学习年限仍以入学之日起计算。</w:t>
      </w:r>
    </w:p>
    <w:p>
      <w:pPr>
        <w:widowControl/>
        <w:shd w:val="clear" w:color="auto" w:fill="FFFFFF"/>
        <w:spacing w:line="324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第六条</w:t>
      </w:r>
      <w:r>
        <w:rPr>
          <w:rFonts w:hint="eastAsia" w:ascii="仿宋_GB2312" w:eastAsia="仿宋_GB2312"/>
          <w:sz w:val="32"/>
          <w:szCs w:val="32"/>
        </w:rPr>
        <w:t xml:space="preserve">  学校每年春季学期为一年级学生组织一次统一转专业（类）工作，统一转专业（类）时各学院原则上不得因为成绩原因拒绝学生的转出申请。</w:t>
      </w:r>
    </w:p>
    <w:p>
      <w:pPr>
        <w:widowControl/>
        <w:shd w:val="clear" w:color="auto" w:fill="FFFFFF"/>
        <w:spacing w:line="324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第七条</w:t>
      </w:r>
      <w:r>
        <w:rPr>
          <w:rFonts w:hint="eastAsia" w:ascii="仿宋_GB2312" w:eastAsia="仿宋_GB2312"/>
          <w:sz w:val="32"/>
          <w:szCs w:val="32"/>
        </w:rPr>
        <w:t xml:space="preserve">  学校统一转专业（类）工作流程：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（一）每届新生第一学年春季学期开学初教务处发布转专业（类）工作通知，规定转专业（类）学生范围、基本条件；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各学院根据实际办学条件确定各专业（类）接收转专业（类）学生人数、确定选拔方式并制定实施细则，教务处审核后统一发布，原则上各专业（类）在新生学生数的5%～20%范围内确定接收转专业（类）学生人数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（三）学生在学校公布有关信息后向各所在学院教务办提出书面申请，填写《转专业（类）申请表》，每个学生最多可以选择两个专业（类），学院教务办将申请转出学生名单汇总统一报教务处；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（四）各学院根据本学院的选拔方式择优录取，确定录取学生名单及递补名单，报送教务处，教务处审核汇总后，统一公布转专业（类）学生名单；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（五）被批准转专业（类）的学生需在原专业（类）完成当学期（春季学期）教学计划，于夏季学期到转入学院教务办报到，正式转入新专业（类）；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（六）学生转入新的专业（类）后，培养方案、学制、学费标准按转入专业（类）执行，学生应根据实际情况有计划补修相关课程。</w:t>
      </w:r>
    </w:p>
    <w:p>
      <w:pPr>
        <w:widowControl/>
        <w:shd w:val="clear" w:color="auto" w:fill="FFFFFF"/>
        <w:spacing w:line="324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第八条</w:t>
      </w:r>
      <w:r>
        <w:rPr>
          <w:rFonts w:hint="eastAsia" w:ascii="仿宋_GB2312" w:eastAsia="仿宋_GB2312"/>
          <w:sz w:val="32"/>
          <w:szCs w:val="32"/>
        </w:rPr>
        <w:t xml:space="preserve">  学生有下列情况之一，并经转出和转入专业（类）所在学院同意，报教务处审核后，可转专业（类）：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（一）学生入学后发现有不能在本专业（类）学习的疾病或者生理缺陷，经学校指定的医院诊断证明属实，但尚能在拟转入专业（类）学习的；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（二）学生确有特殊困难，不转专业（类）无法继续学习的；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学生在数学、物理、化学、生物、历史、哲学或语言等学科有明显专长的，可以申请转入与该生特长相关的专业（类），具体专业（类）包括数学与应用数学、物理学、化学、生物科学、生态学、历史学、哲学、汉语言文学、英语等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（四）实验班学生如不符合继续留在实验班学习要求的，一般应转回该生进入实验班前所学的专业（类），或转入与其在实验班所学课程匹配度较高的专业；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（五）休学创业或退役后复学的学生，因自身情况需要转专业（类）的。</w:t>
      </w:r>
    </w:p>
    <w:p>
      <w:pPr>
        <w:widowControl/>
        <w:shd w:val="clear" w:color="auto" w:fill="FFFFFF"/>
        <w:spacing w:line="324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</w:rPr>
        <w:t xml:space="preserve">  教务处负责转专业（类）工作的管理、协调，学院负责转专业（类）工作的具体实施。</w:t>
      </w:r>
    </w:p>
    <w:p>
      <w:pPr>
        <w:widowControl/>
        <w:shd w:val="clear" w:color="auto" w:fill="FFFFFF"/>
        <w:spacing w:line="324" w:lineRule="auto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第十条</w:t>
      </w:r>
      <w:r>
        <w:rPr>
          <w:rFonts w:hint="eastAsia" w:ascii="仿宋_GB2312" w:eastAsia="仿宋_GB2312"/>
          <w:sz w:val="32"/>
          <w:szCs w:val="32"/>
        </w:rPr>
        <w:t xml:space="preserve">  本办法从201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级学生开始实施，由教务处负责解释。</w:t>
      </w:r>
    </w:p>
    <w:p>
      <w:pPr>
        <w:widowControl/>
        <w:shd w:val="clear" w:color="auto" w:fill="FFFFFF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4" w:type="dxa"/>
          <w:bottom w:w="0" w:type="dxa"/>
          <w:right w:w="284" w:type="dxa"/>
        </w:tblCellMar>
      </w:tblPr>
      <w:tblGrid>
        <w:gridCol w:w="4436"/>
        <w:gridCol w:w="443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4" w:type="dxa"/>
            <w:bottom w:w="0" w:type="dxa"/>
            <w:right w:w="284" w:type="dxa"/>
          </w:tblCellMar>
        </w:tblPrEx>
        <w:trPr>
          <w:jc w:val="center"/>
        </w:trPr>
        <w:tc>
          <w:tcPr>
            <w:tcW w:w="443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南昌大学教务处</w:t>
            </w:r>
          </w:p>
        </w:tc>
        <w:tc>
          <w:tcPr>
            <w:tcW w:w="443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ordWrap w:val="0"/>
              <w:ind w:right="140"/>
              <w:jc w:val="right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2020年1月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75"/>
    <w:rsid w:val="00025F9D"/>
    <w:rsid w:val="00040C43"/>
    <w:rsid w:val="000A0C02"/>
    <w:rsid w:val="000E73F1"/>
    <w:rsid w:val="0011215F"/>
    <w:rsid w:val="00116D64"/>
    <w:rsid w:val="0012217E"/>
    <w:rsid w:val="00164A22"/>
    <w:rsid w:val="00164D22"/>
    <w:rsid w:val="00184EB1"/>
    <w:rsid w:val="001F56DA"/>
    <w:rsid w:val="00200FDB"/>
    <w:rsid w:val="00217533"/>
    <w:rsid w:val="00221869"/>
    <w:rsid w:val="00235D1C"/>
    <w:rsid w:val="002C07A2"/>
    <w:rsid w:val="003051F2"/>
    <w:rsid w:val="00344D9A"/>
    <w:rsid w:val="003617AB"/>
    <w:rsid w:val="003B61B9"/>
    <w:rsid w:val="003B7B32"/>
    <w:rsid w:val="003C63C3"/>
    <w:rsid w:val="003D5463"/>
    <w:rsid w:val="0042783F"/>
    <w:rsid w:val="004439FB"/>
    <w:rsid w:val="004A4349"/>
    <w:rsid w:val="004C4F20"/>
    <w:rsid w:val="004E7C59"/>
    <w:rsid w:val="00516149"/>
    <w:rsid w:val="00532AAB"/>
    <w:rsid w:val="005442F6"/>
    <w:rsid w:val="00545780"/>
    <w:rsid w:val="00546EE8"/>
    <w:rsid w:val="005B17D0"/>
    <w:rsid w:val="005E3E0C"/>
    <w:rsid w:val="005F0E24"/>
    <w:rsid w:val="0061408F"/>
    <w:rsid w:val="00617AE2"/>
    <w:rsid w:val="00624658"/>
    <w:rsid w:val="00630734"/>
    <w:rsid w:val="00632363"/>
    <w:rsid w:val="00657EF2"/>
    <w:rsid w:val="006B4515"/>
    <w:rsid w:val="006C366B"/>
    <w:rsid w:val="00731FD3"/>
    <w:rsid w:val="007548D0"/>
    <w:rsid w:val="007952D5"/>
    <w:rsid w:val="007B32E9"/>
    <w:rsid w:val="007B6C08"/>
    <w:rsid w:val="00866D8C"/>
    <w:rsid w:val="008A075C"/>
    <w:rsid w:val="008C6A1F"/>
    <w:rsid w:val="008F569D"/>
    <w:rsid w:val="008F62A9"/>
    <w:rsid w:val="00902D75"/>
    <w:rsid w:val="00937EC5"/>
    <w:rsid w:val="0094093B"/>
    <w:rsid w:val="00957402"/>
    <w:rsid w:val="00964111"/>
    <w:rsid w:val="009823C6"/>
    <w:rsid w:val="00984A20"/>
    <w:rsid w:val="009A02F2"/>
    <w:rsid w:val="00A2328E"/>
    <w:rsid w:val="00A75880"/>
    <w:rsid w:val="00A83776"/>
    <w:rsid w:val="00B311DF"/>
    <w:rsid w:val="00B42ED1"/>
    <w:rsid w:val="00BA143B"/>
    <w:rsid w:val="00BA5D34"/>
    <w:rsid w:val="00BB08CC"/>
    <w:rsid w:val="00BB35F3"/>
    <w:rsid w:val="00C13101"/>
    <w:rsid w:val="00C7166B"/>
    <w:rsid w:val="00C80CEA"/>
    <w:rsid w:val="00C95D72"/>
    <w:rsid w:val="00CE0704"/>
    <w:rsid w:val="00D04C29"/>
    <w:rsid w:val="00D44221"/>
    <w:rsid w:val="00D451D4"/>
    <w:rsid w:val="00D5432E"/>
    <w:rsid w:val="00D702A0"/>
    <w:rsid w:val="00DA1A09"/>
    <w:rsid w:val="00DB29D7"/>
    <w:rsid w:val="00DE3C14"/>
    <w:rsid w:val="00E0212E"/>
    <w:rsid w:val="00EA7CF7"/>
    <w:rsid w:val="00FB5028"/>
    <w:rsid w:val="00FE4445"/>
    <w:rsid w:val="20032679"/>
    <w:rsid w:val="3B0E1A95"/>
    <w:rsid w:val="600C30E8"/>
    <w:rsid w:val="7DD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225" w:line="288" w:lineRule="atLeast"/>
      <w:jc w:val="left"/>
      <w:outlineLvl w:val="1"/>
    </w:pPr>
    <w:rPr>
      <w:rFonts w:ascii="微软雅黑" w:hAnsi="微软雅黑" w:eastAsia="微软雅黑" w:cs="宋体"/>
      <w:b/>
      <w:bCs/>
      <w:caps/>
      <w:color w:val="000000"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basedOn w:val="7"/>
    <w:link w:val="2"/>
    <w:qFormat/>
    <w:uiPriority w:val="9"/>
    <w:rPr>
      <w:rFonts w:ascii="微软雅黑" w:hAnsi="微软雅黑" w:eastAsia="微软雅黑" w:cs="宋体"/>
      <w:b/>
      <w:bCs/>
      <w:caps/>
      <w:color w:val="000000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278</Words>
  <Characters>1591</Characters>
  <Lines>13</Lines>
  <Paragraphs>3</Paragraphs>
  <TotalTime>1</TotalTime>
  <ScaleCrop>false</ScaleCrop>
  <LinksUpToDate>false</LinksUpToDate>
  <CharactersWithSpaces>1866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2019-12-05T03:01:00Z</dcterms:created>
  <dc:creator>熊 志君</dc:creator>
  <cp:lastModifiedBy>大脸猫爱吃鱼</cp:lastModifiedBy>
  <cp:lastPrinted>2019-12-11T08:53:00Z</cp:lastPrinted>
  <dcterms:modified xsi:type="dcterms:W3CDTF">2020-01-10T08:21:14Z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