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36"/>
          <w:lang w:eastAsia="zh-CN"/>
        </w:rPr>
      </w:pPr>
      <w:r>
        <w:rPr>
          <w:rFonts w:hint="eastAsia"/>
          <w:b/>
          <w:bCs/>
          <w:sz w:val="40"/>
          <w:szCs w:val="36"/>
          <w:lang w:eastAsia="zh-CN"/>
        </w:rPr>
        <w:t>外国语学院</w:t>
      </w:r>
      <w:r>
        <w:rPr>
          <w:rFonts w:hint="eastAsia"/>
          <w:b/>
          <w:bCs/>
          <w:sz w:val="40"/>
          <w:szCs w:val="36"/>
          <w:lang w:val="en-US" w:eastAsia="zh-CN"/>
        </w:rPr>
        <w:t>2024级本科学生</w:t>
      </w:r>
      <w:r>
        <w:rPr>
          <w:rFonts w:hint="eastAsia"/>
          <w:b/>
          <w:bCs/>
          <w:sz w:val="40"/>
          <w:szCs w:val="36"/>
          <w:lang w:eastAsia="zh-CN"/>
        </w:rPr>
        <w:t>转专业实施细则</w:t>
      </w:r>
    </w:p>
    <w:p>
      <w:pPr>
        <w:adjustRightInd w:val="0"/>
        <w:snapToGrid w:val="0"/>
        <w:spacing w:line="324" w:lineRule="auto"/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4"/>
        </w:rPr>
      </w:pPr>
    </w:p>
    <w:p>
      <w:pPr>
        <w:adjustRightInd w:val="0"/>
        <w:snapToGrid w:val="0"/>
        <w:spacing w:line="324" w:lineRule="auto"/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4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转出要求：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申请转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出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的学生应符合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学校转专业的相关规定及要求；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  <w:t>转入要求：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1.须符合学校转专业的相关规定及要求；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000000"/>
          <w:sz w:val="24"/>
          <w:szCs w:val="22"/>
          <w:lang w:val="en-US" w:eastAsia="zh-CN"/>
        </w:rPr>
        <w:t>外国语学院各专业拟接收条件如下表：</w:t>
      </w:r>
    </w:p>
    <w:tbl>
      <w:tblPr>
        <w:tblStyle w:val="2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057"/>
        <w:gridCol w:w="3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转入要求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考试科目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语言文学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英语（涉外法治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仅限法学院学生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英语（英日）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通过日语的笔试和口试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英语（英西）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通过西班牙语的笔试和口试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3.西班牙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4.西班牙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日语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通过日语专业的笔试和口试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德语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通过德语专业的笔试和口试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法语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通过法语专业的笔试和口试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俄语</w:t>
            </w:r>
          </w:p>
        </w:tc>
        <w:tc>
          <w:tcPr>
            <w:tcW w:w="3057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通过俄语专业的笔试和口试</w:t>
            </w:r>
          </w:p>
        </w:tc>
        <w:tc>
          <w:tcPr>
            <w:tcW w:w="37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考试结束后，学院将根据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专业计划和学生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考试成绩进行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审批并签署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接收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意见，确定拟转入学生名单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学院教务办将转入名单和转专业申请表送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审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学校审批结束后将在教务处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官网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上公布获准转专业学生名单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学生转入我院专业（类）后，培养方案、学制、学费标准按学院相关专业（类）执行，毕业时应达到转入专业培养方案的相关要求。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学生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根据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自身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情况于当年的夏季学期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开始到转入专业进行学习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并制定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补修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方案；亦可转入下一年级进行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凡通过遴选转入外国语学院的学生需慎重决策，已经同意转入的学生不得于在读期间以学习能力问题申请再次转出。</w:t>
      </w:r>
    </w:p>
    <w:p>
      <w:pPr>
        <w:adjustRightInd w:val="0"/>
        <w:snapToGrid w:val="0"/>
        <w:spacing w:line="324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  <w:lang w:eastAsia="zh-CN"/>
        </w:rPr>
      </w:pPr>
    </w:p>
    <w:p>
      <w:pPr>
        <w:adjustRightInd w:val="0"/>
        <w:snapToGrid w:val="0"/>
        <w:spacing w:line="324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24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  外国语学院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/>
          <w:b/>
          <w:bCs/>
          <w:sz w:val="40"/>
          <w:szCs w:val="36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2024年5月20日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5082A9"/>
    <w:multiLevelType w:val="singleLevel"/>
    <w:tmpl w:val="155082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D3D1152"/>
    <w:multiLevelType w:val="singleLevel"/>
    <w:tmpl w:val="2D3D115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3CA7278"/>
    <w:multiLevelType w:val="singleLevel"/>
    <w:tmpl w:val="33CA72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0FA8A7E"/>
    <w:multiLevelType w:val="singleLevel"/>
    <w:tmpl w:val="40FA8A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6E787FF"/>
    <w:multiLevelType w:val="singleLevel"/>
    <w:tmpl w:val="56E787F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ODI3OGFhNjQxNjNlM2RlNTQyNzU5M2YwYTE1MzEifQ=="/>
  </w:docVars>
  <w:rsids>
    <w:rsidRoot w:val="5ADD3B02"/>
    <w:rsid w:val="00E169A2"/>
    <w:rsid w:val="23DC0975"/>
    <w:rsid w:val="55F359DA"/>
    <w:rsid w:val="5ADD3B02"/>
    <w:rsid w:val="612E6995"/>
    <w:rsid w:val="76F4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2024-05-06T06:42:00Z</dcterms:created>
  <dc:creator>脑是可以治愈的</dc:creator>
  <cp:lastModifiedBy>脑是可以治愈的</cp:lastModifiedBy>
  <cp:lastPrinted>2024-05-20T07:04:15Z</cp:lastPrinted>
  <dcterms:modified xsi:type="dcterms:W3CDTF">2024-05-20T07:42:52Z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2387190668D74898915F6CFD1C60BC41_11</vt:lpwstr>
  </property>
</Properties>
</file>