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E19" w:rsidRDefault="007B6B71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南昌大学物理与材料学院</w:t>
      </w:r>
      <w:r>
        <w:rPr>
          <w:rFonts w:ascii="黑体" w:eastAsia="黑体" w:hint="eastAsia"/>
          <w:b/>
          <w:sz w:val="36"/>
          <w:szCs w:val="36"/>
        </w:rPr>
        <w:t>202</w:t>
      </w:r>
      <w:r>
        <w:rPr>
          <w:rFonts w:ascii="黑体" w:eastAsia="黑体" w:hint="eastAsia"/>
          <w:b/>
          <w:sz w:val="36"/>
          <w:szCs w:val="36"/>
        </w:rPr>
        <w:t>4</w:t>
      </w:r>
      <w:r>
        <w:rPr>
          <w:rFonts w:ascii="黑体" w:eastAsia="黑体" w:hint="eastAsia"/>
          <w:b/>
          <w:sz w:val="36"/>
          <w:szCs w:val="36"/>
        </w:rPr>
        <w:t>级本科学生转专业实施细则</w:t>
      </w:r>
      <w:r>
        <w:rPr>
          <w:rFonts w:ascii="黑体" w:eastAsia="黑体" w:hint="eastAsia"/>
          <w:b/>
          <w:sz w:val="36"/>
          <w:szCs w:val="36"/>
        </w:rPr>
        <w:t>（</w:t>
      </w:r>
      <w:r>
        <w:rPr>
          <w:rFonts w:ascii="黑体" w:eastAsia="黑体" w:hint="eastAsia"/>
          <w:b/>
          <w:sz w:val="36"/>
          <w:szCs w:val="36"/>
        </w:rPr>
        <w:t>草案</w:t>
      </w:r>
      <w:r>
        <w:rPr>
          <w:rFonts w:ascii="黑体" w:eastAsia="黑体" w:hint="eastAsia"/>
          <w:b/>
          <w:sz w:val="36"/>
          <w:szCs w:val="36"/>
        </w:rPr>
        <w:t>）</w:t>
      </w:r>
    </w:p>
    <w:p w:rsidR="005F2E19" w:rsidRDefault="007B6B71">
      <w:pPr>
        <w:adjustRightInd w:val="0"/>
        <w:spacing w:beforeLines="100" w:before="312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</w:t>
      </w:r>
      <w:r>
        <w:rPr>
          <w:rFonts w:ascii="仿宋" w:eastAsia="仿宋" w:hAnsi="仿宋" w:hint="eastAsia"/>
          <w:sz w:val="32"/>
          <w:szCs w:val="32"/>
        </w:rPr>
        <w:t>学校关于做好</w:t>
      </w:r>
      <w:r>
        <w:rPr>
          <w:rFonts w:ascii="仿宋" w:eastAsia="仿宋" w:hAnsi="仿宋" w:hint="eastAsia"/>
          <w:sz w:val="32"/>
          <w:szCs w:val="32"/>
        </w:rPr>
        <w:t>2024</w:t>
      </w:r>
      <w:r>
        <w:rPr>
          <w:rFonts w:ascii="仿宋" w:eastAsia="仿宋" w:hAnsi="仿宋" w:hint="eastAsia"/>
          <w:sz w:val="32"/>
          <w:szCs w:val="32"/>
        </w:rPr>
        <w:t>级本科生转专业实施细则的通知</w:t>
      </w:r>
      <w:r>
        <w:rPr>
          <w:rFonts w:ascii="仿宋" w:eastAsia="仿宋" w:hAnsi="仿宋" w:hint="eastAsia"/>
          <w:sz w:val="32"/>
          <w:szCs w:val="32"/>
        </w:rPr>
        <w:t>、《南昌大学本科学生转专业实施办法（</w:t>
      </w:r>
      <w:r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年修订）》相关要求、《南昌大学全日制本科学生学分制管理办法</w:t>
      </w:r>
      <w:r>
        <w:rPr>
          <w:rFonts w:ascii="仿宋" w:eastAsia="仿宋" w:hAnsi="仿宋" w:hint="eastAsia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试行</w:t>
      </w:r>
      <w:r>
        <w:rPr>
          <w:rFonts w:ascii="仿宋" w:eastAsia="仿宋" w:hAnsi="仿宋" w:hint="eastAsia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》和《南昌大学本科学生学籍管理实施细则》等文件规定，我院特制订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级本科学生转专业工作实施细则：</w:t>
      </w:r>
    </w:p>
    <w:p w:rsidR="005F2E19" w:rsidRDefault="007B6B71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一、指导思想</w:t>
      </w:r>
    </w:p>
    <w:p w:rsidR="005F2E19" w:rsidRDefault="007B6B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坚持以学生为本的原则，在教学资源条件允许的情况下尽可能满足学生转专业（类）需求。转专业（类）工作由学生自愿申请，过程按照公开、公平、公正的原则进行。</w:t>
      </w:r>
    </w:p>
    <w:p w:rsidR="005F2E19" w:rsidRDefault="007B6B71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二、组织领导</w:t>
      </w:r>
    </w:p>
    <w:p w:rsidR="005F2E19" w:rsidRDefault="007B6B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学院成立转专业工作领导小组，统筹安排转专业工作。院教务办负责转专业学生材料的收集汇总、整理归档、考核安排及各方面的协调工作，院</w:t>
      </w:r>
      <w:proofErr w:type="gramStart"/>
      <w:r>
        <w:rPr>
          <w:rFonts w:ascii="仿宋" w:eastAsia="仿宋" w:hAnsi="仿宋" w:hint="eastAsia"/>
          <w:sz w:val="32"/>
          <w:szCs w:val="32"/>
        </w:rPr>
        <w:t>学工办</w:t>
      </w:r>
      <w:proofErr w:type="gramEnd"/>
      <w:r>
        <w:rPr>
          <w:rFonts w:ascii="仿宋" w:eastAsia="仿宋" w:hAnsi="仿宋" w:hint="eastAsia"/>
          <w:sz w:val="32"/>
          <w:szCs w:val="32"/>
        </w:rPr>
        <w:t>负责转专业工作的宣传和转入学生的安置工作。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5F2E19" w:rsidRDefault="007B6B71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学生转专业申请条件</w:t>
      </w:r>
    </w:p>
    <w:p w:rsidR="005F2E19" w:rsidRDefault="007B6B7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转入转出学生</w:t>
      </w:r>
      <w:r>
        <w:rPr>
          <w:rFonts w:ascii="仿宋" w:eastAsia="仿宋" w:hAnsi="仿宋" w:hint="eastAsia"/>
          <w:sz w:val="32"/>
          <w:szCs w:val="32"/>
        </w:rPr>
        <w:t>基本</w:t>
      </w:r>
      <w:r>
        <w:rPr>
          <w:rFonts w:ascii="仿宋" w:eastAsia="仿宋" w:hAnsi="仿宋" w:hint="eastAsia"/>
          <w:sz w:val="32"/>
          <w:szCs w:val="32"/>
        </w:rPr>
        <w:t>要求</w:t>
      </w:r>
      <w:r>
        <w:rPr>
          <w:rFonts w:ascii="仿宋" w:eastAsia="仿宋" w:hAnsi="仿宋" w:hint="eastAsia"/>
          <w:sz w:val="32"/>
          <w:szCs w:val="32"/>
        </w:rPr>
        <w:t>以及不得转专业的情况</w:t>
      </w:r>
      <w:r>
        <w:rPr>
          <w:rFonts w:ascii="仿宋" w:eastAsia="仿宋" w:hAnsi="仿宋" w:hint="eastAsia"/>
          <w:sz w:val="32"/>
          <w:szCs w:val="32"/>
        </w:rPr>
        <w:t>根据学校文件规定执行。</w:t>
      </w:r>
    </w:p>
    <w:p w:rsidR="005F2E19" w:rsidRDefault="007B6B7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除满足基本要求外，</w:t>
      </w:r>
      <w:r>
        <w:rPr>
          <w:rFonts w:ascii="仿宋" w:eastAsia="仿宋" w:hAnsi="仿宋" w:hint="eastAsia"/>
          <w:sz w:val="32"/>
          <w:szCs w:val="32"/>
        </w:rPr>
        <w:t>转入本院学生还应满足以下要求：</w:t>
      </w:r>
    </w:p>
    <w:p w:rsidR="005F2E19" w:rsidRDefault="007B6B71">
      <w:pPr>
        <w:adjustRightInd w:val="0"/>
        <w:snapToGrid w:val="0"/>
        <w:spacing w:line="360" w:lineRule="auto"/>
        <w:ind w:leftChars="200" w:left="420" w:firstLine="420"/>
        <w:jc w:val="left"/>
        <w:rPr>
          <w:rFonts w:ascii="仿宋" w:eastAsia="仿宋" w:hAnsi="仿宋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  <w:highlight w:val="yellow"/>
        </w:rPr>
        <w:t>（</w:t>
      </w:r>
      <w:r>
        <w:rPr>
          <w:rFonts w:ascii="仿宋" w:eastAsia="仿宋" w:hAnsi="仿宋" w:hint="eastAsia"/>
          <w:sz w:val="32"/>
          <w:szCs w:val="32"/>
          <w:highlight w:val="yellow"/>
        </w:rPr>
        <w:t>1</w:t>
      </w:r>
      <w:r>
        <w:rPr>
          <w:rFonts w:ascii="仿宋" w:eastAsia="仿宋" w:hAnsi="仿宋" w:hint="eastAsia"/>
          <w:sz w:val="32"/>
          <w:szCs w:val="32"/>
          <w:highlight w:val="yellow"/>
        </w:rPr>
        <w:t>）</w:t>
      </w:r>
      <w:r>
        <w:rPr>
          <w:rFonts w:ascii="仿宋" w:eastAsia="仿宋" w:hAnsi="仿宋" w:hint="eastAsia"/>
          <w:sz w:val="32"/>
          <w:szCs w:val="32"/>
          <w:highlight w:val="yellow"/>
        </w:rPr>
        <w:t>转入学生需具有良好的综合素质；</w:t>
      </w:r>
    </w:p>
    <w:p w:rsidR="005F2E19" w:rsidRDefault="007B6B71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）本院只接收高考为理工类专业的学生，</w:t>
      </w:r>
      <w:r>
        <w:rPr>
          <w:rFonts w:ascii="仿宋" w:eastAsia="仿宋" w:hAnsi="仿宋" w:hint="eastAsia"/>
          <w:sz w:val="32"/>
          <w:szCs w:val="32"/>
        </w:rPr>
        <w:t>新高考省份的考生必选物理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5F2E19" w:rsidRDefault="007B6B71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）转入本院学生在原专业的所有课程必须合格，且不能有补考情况出现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5F2E19" w:rsidRDefault="007B6B71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  <w:highlight w:val="yellow"/>
        </w:rPr>
        <w:t>（</w:t>
      </w:r>
      <w:r>
        <w:rPr>
          <w:rFonts w:ascii="仿宋" w:eastAsia="仿宋" w:hAnsi="仿宋" w:hint="eastAsia"/>
          <w:sz w:val="32"/>
          <w:szCs w:val="32"/>
          <w:highlight w:val="yellow"/>
        </w:rPr>
        <w:t>4</w:t>
      </w:r>
      <w:r>
        <w:rPr>
          <w:rFonts w:ascii="仿宋" w:eastAsia="仿宋" w:hAnsi="仿宋" w:hint="eastAsia"/>
          <w:sz w:val="32"/>
          <w:szCs w:val="32"/>
          <w:highlight w:val="yellow"/>
        </w:rPr>
        <w:t>）</w:t>
      </w:r>
      <w:r>
        <w:rPr>
          <w:rFonts w:ascii="仿宋" w:eastAsia="仿宋" w:hAnsi="仿宋" w:hint="eastAsia"/>
          <w:sz w:val="32"/>
          <w:szCs w:val="32"/>
          <w:highlight w:val="yellow"/>
        </w:rPr>
        <w:t>已修读《高等数学（</w:t>
      </w:r>
      <w:r>
        <w:rPr>
          <w:rFonts w:ascii="仿宋" w:eastAsia="仿宋" w:hAnsi="仿宋" w:hint="eastAsia"/>
          <w:sz w:val="32"/>
          <w:szCs w:val="32"/>
          <w:highlight w:val="yellow"/>
        </w:rPr>
        <w:t>2</w:t>
      </w:r>
      <w:r>
        <w:rPr>
          <w:rFonts w:ascii="仿宋" w:eastAsia="仿宋" w:hAnsi="仿宋" w:hint="eastAsia"/>
          <w:sz w:val="32"/>
          <w:szCs w:val="32"/>
          <w:highlight w:val="yellow"/>
        </w:rPr>
        <w:t>）》或以上数学类课程；</w:t>
      </w:r>
    </w:p>
    <w:p w:rsidR="005F2E19" w:rsidRDefault="007B6B71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）本院不接收有纪律处分学生的转入申请；</w:t>
      </w:r>
    </w:p>
    <w:p w:rsidR="005F2E19" w:rsidRDefault="007B6B71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）不接受正在休学、保留入学资格（学籍）或应予以退学的学生的转入申请。</w:t>
      </w:r>
    </w:p>
    <w:p w:rsidR="005F2E19" w:rsidRDefault="007B6B71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四、转入</w:t>
      </w:r>
    </w:p>
    <w:p w:rsidR="005F2E19" w:rsidRDefault="007B6B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、根据学院现有教育资源和办学条件，</w:t>
      </w:r>
      <w:r>
        <w:rPr>
          <w:rFonts w:ascii="仿宋" w:eastAsia="仿宋" w:hAnsi="仿宋" w:hint="eastAsia"/>
          <w:sz w:val="32"/>
          <w:szCs w:val="32"/>
        </w:rPr>
        <w:t>物理学、应用物理学、材料科学与工程、高分子材料与工程</w:t>
      </w:r>
      <w:r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 w:hint="eastAsia"/>
          <w:sz w:val="32"/>
          <w:szCs w:val="32"/>
        </w:rPr>
        <w:t>接收</w:t>
      </w:r>
      <w:r>
        <w:rPr>
          <w:rFonts w:ascii="仿宋" w:eastAsia="仿宋" w:hAnsi="仿宋" w:cs="宋体" w:hint="eastAsia"/>
          <w:sz w:val="32"/>
          <w:szCs w:val="32"/>
        </w:rPr>
        <w:t>转入</w:t>
      </w:r>
      <w:r>
        <w:rPr>
          <w:rFonts w:ascii="仿宋" w:eastAsia="仿宋" w:hAnsi="仿宋" w:cs="宋体" w:hint="eastAsia"/>
          <w:sz w:val="32"/>
          <w:szCs w:val="32"/>
        </w:rPr>
        <w:t>学生，转入人数待定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F2E19" w:rsidRDefault="007B6B71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第一学期课程平均</w:t>
      </w:r>
      <w:proofErr w:type="gramStart"/>
      <w:r>
        <w:rPr>
          <w:rFonts w:ascii="仿宋" w:eastAsia="仿宋" w:hAnsi="仿宋" w:hint="eastAsia"/>
          <w:sz w:val="32"/>
          <w:szCs w:val="32"/>
        </w:rPr>
        <w:t>学分绩点排在</w:t>
      </w:r>
      <w:proofErr w:type="gramEnd"/>
      <w:r>
        <w:rPr>
          <w:rFonts w:ascii="仿宋" w:eastAsia="仿宋" w:hAnsi="仿宋" w:hint="eastAsia"/>
          <w:sz w:val="32"/>
          <w:szCs w:val="32"/>
        </w:rPr>
        <w:t>本专业前</w:t>
      </w:r>
      <w:r>
        <w:rPr>
          <w:rFonts w:ascii="仿宋" w:eastAsia="仿宋" w:hAnsi="仿宋" w:hint="eastAsia"/>
          <w:sz w:val="32"/>
          <w:szCs w:val="32"/>
        </w:rPr>
        <w:t>5%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高中或大学期间</w:t>
      </w:r>
      <w:r>
        <w:rPr>
          <w:rFonts w:ascii="仿宋" w:eastAsia="仿宋" w:hAnsi="仿宋" w:hint="eastAsia"/>
          <w:sz w:val="32"/>
          <w:szCs w:val="32"/>
        </w:rPr>
        <w:t>获得拟转入专业相关学科竞赛奖项的，在同等条件下享有优先权。</w:t>
      </w:r>
    </w:p>
    <w:p w:rsidR="005F2E19" w:rsidRDefault="007B6B71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、符合转专业总体要求，经学院统一</w:t>
      </w:r>
      <w:r>
        <w:rPr>
          <w:rFonts w:ascii="仿宋" w:eastAsia="仿宋" w:hAnsi="仿宋" w:hint="eastAsia"/>
          <w:sz w:val="32"/>
          <w:szCs w:val="32"/>
        </w:rPr>
        <w:t>复</w:t>
      </w:r>
      <w:r>
        <w:rPr>
          <w:rFonts w:ascii="仿宋" w:eastAsia="仿宋" w:hAnsi="仿宋" w:hint="eastAsia"/>
          <w:sz w:val="32"/>
          <w:szCs w:val="32"/>
        </w:rPr>
        <w:t>试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复试方式为面试，</w:t>
      </w:r>
      <w:r>
        <w:rPr>
          <w:rFonts w:ascii="仿宋" w:eastAsia="仿宋" w:hAnsi="仿宋" w:hint="eastAsia"/>
          <w:sz w:val="32"/>
          <w:szCs w:val="32"/>
        </w:rPr>
        <w:t>根据面试成绩</w:t>
      </w:r>
      <w:r>
        <w:rPr>
          <w:rFonts w:ascii="仿宋" w:eastAsia="仿宋" w:hAnsi="仿宋" w:hint="eastAsia"/>
          <w:sz w:val="32"/>
          <w:szCs w:val="32"/>
        </w:rPr>
        <w:t>和专业条件</w:t>
      </w:r>
      <w:r>
        <w:rPr>
          <w:rFonts w:ascii="仿宋" w:eastAsia="仿宋" w:hAnsi="仿宋" w:hint="eastAsia"/>
          <w:sz w:val="32"/>
          <w:szCs w:val="32"/>
        </w:rPr>
        <w:t>择优</w:t>
      </w:r>
      <w:r>
        <w:rPr>
          <w:rFonts w:ascii="仿宋" w:eastAsia="仿宋" w:hAnsi="仿宋" w:hint="eastAsia"/>
          <w:sz w:val="32"/>
          <w:szCs w:val="32"/>
        </w:rPr>
        <w:t>录取。</w:t>
      </w:r>
    </w:p>
    <w:p w:rsidR="005F2E19" w:rsidRDefault="007B6B71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五、转出</w:t>
      </w:r>
    </w:p>
    <w:p w:rsidR="005F2E19" w:rsidRDefault="007B6B71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符合学校转专业总体要求即可申请。</w:t>
      </w:r>
    </w:p>
    <w:p w:rsidR="005F2E19" w:rsidRDefault="007B6B71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六、转专业具体流程</w:t>
      </w:r>
    </w:p>
    <w:p w:rsidR="005F2E19" w:rsidRDefault="007B6B71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根据学校文件要求执行。</w:t>
      </w:r>
    </w:p>
    <w:p w:rsidR="005F2E19" w:rsidRDefault="007B6B71">
      <w:pPr>
        <w:widowControl/>
        <w:tabs>
          <w:tab w:val="left" w:pos="720"/>
        </w:tabs>
        <w:spacing w:afterLines="50" w:after="156"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七、其他事项</w:t>
      </w:r>
    </w:p>
    <w:p w:rsidR="005F2E19" w:rsidRDefault="007B6B71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学校公布正式转入名单之后，转入学生需到学院教务办办理课程免修、补修手续，根据培养方案确定学习计划。</w:t>
      </w:r>
    </w:p>
    <w:p w:rsidR="005F2E19" w:rsidRDefault="007B6B71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、咨询电话：</w:t>
      </w:r>
      <w:r>
        <w:rPr>
          <w:rFonts w:ascii="仿宋" w:eastAsia="仿宋" w:hAnsi="仿宋" w:hint="eastAsia"/>
          <w:sz w:val="32"/>
          <w:szCs w:val="32"/>
        </w:rPr>
        <w:t>83969554</w:t>
      </w:r>
      <w:r>
        <w:rPr>
          <w:rFonts w:ascii="仿宋" w:eastAsia="仿宋" w:hAnsi="仿宋" w:hint="eastAsia"/>
          <w:sz w:val="32"/>
          <w:szCs w:val="32"/>
        </w:rPr>
        <w:t>（物理与材料学院教务办），地址：智华科技楼</w:t>
      </w:r>
      <w:r>
        <w:rPr>
          <w:rFonts w:ascii="仿宋" w:eastAsia="仿宋" w:hAnsi="仿宋" w:hint="eastAsia"/>
          <w:sz w:val="32"/>
          <w:szCs w:val="32"/>
        </w:rPr>
        <w:t>916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F2E19" w:rsidRDefault="007B6B71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>未尽事宜，</w:t>
      </w:r>
      <w:proofErr w:type="gramStart"/>
      <w:r>
        <w:rPr>
          <w:rFonts w:ascii="仿宋" w:eastAsia="仿宋" w:hAnsi="仿宋" w:hint="eastAsia"/>
          <w:snapToGrid w:val="0"/>
          <w:sz w:val="32"/>
          <w:szCs w:val="32"/>
        </w:rPr>
        <w:t>由转专业</w:t>
      </w:r>
      <w:proofErr w:type="gramEnd"/>
      <w:r>
        <w:rPr>
          <w:rFonts w:ascii="仿宋" w:eastAsia="仿宋" w:hAnsi="仿宋" w:hint="eastAsia"/>
          <w:snapToGrid w:val="0"/>
          <w:sz w:val="32"/>
          <w:szCs w:val="32"/>
        </w:rPr>
        <w:t>工作领导小组负责解释。</w:t>
      </w:r>
    </w:p>
    <w:p w:rsidR="005F2E19" w:rsidRDefault="005F2E19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</w:p>
    <w:p w:rsidR="005F2E19" w:rsidRDefault="005F2E19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</w:p>
    <w:p w:rsidR="005F2E19" w:rsidRDefault="007B6B71">
      <w:pPr>
        <w:ind w:firstLineChars="100" w:firstLine="320"/>
        <w:jc w:val="right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>物理与材料学院</w:t>
      </w:r>
    </w:p>
    <w:p w:rsidR="005F2E19" w:rsidRDefault="007B6B71">
      <w:pPr>
        <w:ind w:firstLineChars="100" w:firstLine="320"/>
        <w:jc w:val="right"/>
      </w:pPr>
      <w:r>
        <w:rPr>
          <w:rFonts w:ascii="仿宋" w:eastAsia="仿宋" w:hAnsi="仿宋" w:hint="eastAsia"/>
          <w:snapToGrid w:val="0"/>
          <w:sz w:val="32"/>
          <w:szCs w:val="32"/>
        </w:rPr>
        <w:t>2024</w:t>
      </w:r>
      <w:bookmarkStart w:id="0" w:name="_GoBack"/>
      <w:bookmarkEnd w:id="0"/>
      <w:r>
        <w:rPr>
          <w:rFonts w:ascii="仿宋" w:eastAsia="仿宋" w:hAnsi="仿宋" w:hint="eastAsia"/>
          <w:snapToGrid w:val="0"/>
          <w:sz w:val="32"/>
          <w:szCs w:val="32"/>
        </w:rPr>
        <w:t>年</w:t>
      </w:r>
      <w:r>
        <w:rPr>
          <w:rFonts w:ascii="仿宋" w:eastAsia="仿宋" w:hAnsi="仿宋"/>
          <w:snapToGrid w:val="0"/>
          <w:sz w:val="32"/>
          <w:szCs w:val="32"/>
        </w:rPr>
        <w:t>5</w:t>
      </w:r>
      <w:r>
        <w:rPr>
          <w:rFonts w:ascii="仿宋" w:eastAsia="仿宋" w:hAnsi="仿宋" w:hint="eastAsia"/>
          <w:snapToGrid w:val="0"/>
          <w:sz w:val="32"/>
          <w:szCs w:val="32"/>
        </w:rPr>
        <w:t>月</w:t>
      </w:r>
      <w:r>
        <w:rPr>
          <w:rFonts w:ascii="仿宋" w:eastAsia="仿宋" w:hAnsi="仿宋"/>
          <w:snapToGrid w:val="0"/>
          <w:sz w:val="32"/>
          <w:szCs w:val="32"/>
        </w:rPr>
        <w:t>7</w:t>
      </w:r>
      <w:r>
        <w:rPr>
          <w:rFonts w:ascii="仿宋" w:eastAsia="仿宋" w:hAnsi="仿宋" w:hint="eastAsia"/>
          <w:snapToGrid w:val="0"/>
          <w:sz w:val="32"/>
          <w:szCs w:val="32"/>
        </w:rPr>
        <w:t>日</w:t>
      </w:r>
      <w:r>
        <w:rPr>
          <w:rFonts w:ascii="仿宋" w:eastAsia="仿宋" w:hAnsi="仿宋" w:hint="eastAsia"/>
          <w:snapToGrid w:val="0"/>
          <w:sz w:val="32"/>
          <w:szCs w:val="32"/>
        </w:rPr>
        <w:t xml:space="preserve"> </w:t>
      </w:r>
      <w:r>
        <w:rPr>
          <w:rFonts w:ascii="宋体" w:hAnsi="宋体" w:hint="eastAsia"/>
          <w:snapToGrid w:val="0"/>
          <w:sz w:val="28"/>
          <w:szCs w:val="28"/>
        </w:rPr>
        <w:t xml:space="preserve"> </w:t>
      </w:r>
      <w:r>
        <w:rPr>
          <w:rFonts w:ascii="仿宋" w:eastAsia="仿宋" w:hAnsi="仿宋" w:hint="eastAsia"/>
        </w:rPr>
        <w:t xml:space="preserve">                                                                               </w:t>
      </w:r>
    </w:p>
    <w:sectPr w:rsidR="005F2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056410"/>
    <w:multiLevelType w:val="singleLevel"/>
    <w:tmpl w:val="D9056410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166E53B0"/>
    <w:multiLevelType w:val="singleLevel"/>
    <w:tmpl w:val="166E53B0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wNzMyYmRkMzJlMjE2N2EzMGMyNWNjMmQ4NWZmNTUifQ=="/>
  </w:docVars>
  <w:rsids>
    <w:rsidRoot w:val="003A0FD1"/>
    <w:rsid w:val="0001437D"/>
    <w:rsid w:val="00025118"/>
    <w:rsid w:val="00025122"/>
    <w:rsid w:val="000431F3"/>
    <w:rsid w:val="000464D5"/>
    <w:rsid w:val="00052766"/>
    <w:rsid w:val="00063218"/>
    <w:rsid w:val="00074001"/>
    <w:rsid w:val="000A1C70"/>
    <w:rsid w:val="000A4535"/>
    <w:rsid w:val="000A4E86"/>
    <w:rsid w:val="000A510C"/>
    <w:rsid w:val="000A77CD"/>
    <w:rsid w:val="000A7E8D"/>
    <w:rsid w:val="000C1F1F"/>
    <w:rsid w:val="000C4439"/>
    <w:rsid w:val="000E30B1"/>
    <w:rsid w:val="000E4E02"/>
    <w:rsid w:val="000F7BCD"/>
    <w:rsid w:val="001001E6"/>
    <w:rsid w:val="001023BE"/>
    <w:rsid w:val="00104F0E"/>
    <w:rsid w:val="0012791F"/>
    <w:rsid w:val="00136CF8"/>
    <w:rsid w:val="00146E39"/>
    <w:rsid w:val="00151807"/>
    <w:rsid w:val="00164604"/>
    <w:rsid w:val="00173A61"/>
    <w:rsid w:val="001821DC"/>
    <w:rsid w:val="00194851"/>
    <w:rsid w:val="001C1CB5"/>
    <w:rsid w:val="001C41F3"/>
    <w:rsid w:val="001E32D9"/>
    <w:rsid w:val="001E3369"/>
    <w:rsid w:val="00201140"/>
    <w:rsid w:val="00215055"/>
    <w:rsid w:val="00216696"/>
    <w:rsid w:val="00236DCA"/>
    <w:rsid w:val="00237185"/>
    <w:rsid w:val="00237B1B"/>
    <w:rsid w:val="00251191"/>
    <w:rsid w:val="00271D08"/>
    <w:rsid w:val="00290DA5"/>
    <w:rsid w:val="00293B89"/>
    <w:rsid w:val="002A4BBD"/>
    <w:rsid w:val="002A6FF4"/>
    <w:rsid w:val="002A7925"/>
    <w:rsid w:val="002B72AC"/>
    <w:rsid w:val="002B75B2"/>
    <w:rsid w:val="002D34CE"/>
    <w:rsid w:val="002D78A5"/>
    <w:rsid w:val="002E125F"/>
    <w:rsid w:val="002E1BD6"/>
    <w:rsid w:val="002E76D8"/>
    <w:rsid w:val="002F7C6F"/>
    <w:rsid w:val="00303C4D"/>
    <w:rsid w:val="00335025"/>
    <w:rsid w:val="0034210E"/>
    <w:rsid w:val="00344851"/>
    <w:rsid w:val="00355AFA"/>
    <w:rsid w:val="00356825"/>
    <w:rsid w:val="003620E2"/>
    <w:rsid w:val="00370FC9"/>
    <w:rsid w:val="0037308B"/>
    <w:rsid w:val="0037638D"/>
    <w:rsid w:val="00382EAA"/>
    <w:rsid w:val="003A0FD1"/>
    <w:rsid w:val="003A1F72"/>
    <w:rsid w:val="003B08DE"/>
    <w:rsid w:val="003B21FA"/>
    <w:rsid w:val="003F2EC7"/>
    <w:rsid w:val="00405B54"/>
    <w:rsid w:val="0042053F"/>
    <w:rsid w:val="00441FD6"/>
    <w:rsid w:val="00446821"/>
    <w:rsid w:val="00451489"/>
    <w:rsid w:val="00453D5A"/>
    <w:rsid w:val="0045772F"/>
    <w:rsid w:val="00470154"/>
    <w:rsid w:val="0048145C"/>
    <w:rsid w:val="00485536"/>
    <w:rsid w:val="00496728"/>
    <w:rsid w:val="004B07DD"/>
    <w:rsid w:val="004C4F99"/>
    <w:rsid w:val="004C7093"/>
    <w:rsid w:val="004D1EE6"/>
    <w:rsid w:val="004E4016"/>
    <w:rsid w:val="004E42D9"/>
    <w:rsid w:val="004E5EF2"/>
    <w:rsid w:val="004F00C8"/>
    <w:rsid w:val="00500024"/>
    <w:rsid w:val="00501E92"/>
    <w:rsid w:val="00510570"/>
    <w:rsid w:val="00532C08"/>
    <w:rsid w:val="005349F6"/>
    <w:rsid w:val="00562B9C"/>
    <w:rsid w:val="00577A44"/>
    <w:rsid w:val="00593457"/>
    <w:rsid w:val="005959E6"/>
    <w:rsid w:val="005C43CD"/>
    <w:rsid w:val="005D36B6"/>
    <w:rsid w:val="005D625D"/>
    <w:rsid w:val="005E31EC"/>
    <w:rsid w:val="005F2E19"/>
    <w:rsid w:val="0060374F"/>
    <w:rsid w:val="00605622"/>
    <w:rsid w:val="00620B27"/>
    <w:rsid w:val="00627B48"/>
    <w:rsid w:val="00632CBB"/>
    <w:rsid w:val="00654672"/>
    <w:rsid w:val="00655806"/>
    <w:rsid w:val="006673E2"/>
    <w:rsid w:val="0067215B"/>
    <w:rsid w:val="00686015"/>
    <w:rsid w:val="00696639"/>
    <w:rsid w:val="006A0C5C"/>
    <w:rsid w:val="006A10E0"/>
    <w:rsid w:val="006A4B2B"/>
    <w:rsid w:val="006B0A22"/>
    <w:rsid w:val="006B7B38"/>
    <w:rsid w:val="006C3075"/>
    <w:rsid w:val="006D1F30"/>
    <w:rsid w:val="006D425D"/>
    <w:rsid w:val="006E2C4F"/>
    <w:rsid w:val="006E444F"/>
    <w:rsid w:val="006F246A"/>
    <w:rsid w:val="0070282A"/>
    <w:rsid w:val="007117DC"/>
    <w:rsid w:val="0071381C"/>
    <w:rsid w:val="00721B41"/>
    <w:rsid w:val="007263E6"/>
    <w:rsid w:val="00730FB5"/>
    <w:rsid w:val="00732E13"/>
    <w:rsid w:val="007648DB"/>
    <w:rsid w:val="00784216"/>
    <w:rsid w:val="007876D2"/>
    <w:rsid w:val="00793FFF"/>
    <w:rsid w:val="007A02BB"/>
    <w:rsid w:val="007B6B71"/>
    <w:rsid w:val="007B72FA"/>
    <w:rsid w:val="007E4053"/>
    <w:rsid w:val="007E701E"/>
    <w:rsid w:val="00817734"/>
    <w:rsid w:val="00823367"/>
    <w:rsid w:val="00837691"/>
    <w:rsid w:val="00837972"/>
    <w:rsid w:val="00837B4B"/>
    <w:rsid w:val="00840945"/>
    <w:rsid w:val="00866997"/>
    <w:rsid w:val="00867BB2"/>
    <w:rsid w:val="0087058C"/>
    <w:rsid w:val="00880F1A"/>
    <w:rsid w:val="008A4620"/>
    <w:rsid w:val="008B20E4"/>
    <w:rsid w:val="008B3C09"/>
    <w:rsid w:val="008C2707"/>
    <w:rsid w:val="008C74E4"/>
    <w:rsid w:val="008D54A1"/>
    <w:rsid w:val="008D7EBC"/>
    <w:rsid w:val="008E04E2"/>
    <w:rsid w:val="00903B52"/>
    <w:rsid w:val="00905959"/>
    <w:rsid w:val="0092588F"/>
    <w:rsid w:val="00945A36"/>
    <w:rsid w:val="00951923"/>
    <w:rsid w:val="00964BA3"/>
    <w:rsid w:val="00981A1D"/>
    <w:rsid w:val="00986517"/>
    <w:rsid w:val="00994797"/>
    <w:rsid w:val="009A070A"/>
    <w:rsid w:val="009A2FB5"/>
    <w:rsid w:val="009B27C7"/>
    <w:rsid w:val="009C7528"/>
    <w:rsid w:val="009D5F5D"/>
    <w:rsid w:val="009D6EA2"/>
    <w:rsid w:val="009F11FD"/>
    <w:rsid w:val="009F2FC1"/>
    <w:rsid w:val="009F6677"/>
    <w:rsid w:val="00A03F76"/>
    <w:rsid w:val="00A06544"/>
    <w:rsid w:val="00A07835"/>
    <w:rsid w:val="00A21B9B"/>
    <w:rsid w:val="00A22B30"/>
    <w:rsid w:val="00A27776"/>
    <w:rsid w:val="00A27B25"/>
    <w:rsid w:val="00A32296"/>
    <w:rsid w:val="00A468CA"/>
    <w:rsid w:val="00A4786A"/>
    <w:rsid w:val="00A50D8C"/>
    <w:rsid w:val="00A52120"/>
    <w:rsid w:val="00A56115"/>
    <w:rsid w:val="00A57093"/>
    <w:rsid w:val="00A62380"/>
    <w:rsid w:val="00A64067"/>
    <w:rsid w:val="00A66B2B"/>
    <w:rsid w:val="00A67381"/>
    <w:rsid w:val="00A97A95"/>
    <w:rsid w:val="00AA3F9C"/>
    <w:rsid w:val="00AB050B"/>
    <w:rsid w:val="00AD0770"/>
    <w:rsid w:val="00AE0221"/>
    <w:rsid w:val="00B066D1"/>
    <w:rsid w:val="00B22DA7"/>
    <w:rsid w:val="00B418DE"/>
    <w:rsid w:val="00B41C0E"/>
    <w:rsid w:val="00B90AC0"/>
    <w:rsid w:val="00B96E4C"/>
    <w:rsid w:val="00BA0B7E"/>
    <w:rsid w:val="00BA4614"/>
    <w:rsid w:val="00BA639F"/>
    <w:rsid w:val="00BB179B"/>
    <w:rsid w:val="00BB696A"/>
    <w:rsid w:val="00BD1010"/>
    <w:rsid w:val="00BD3423"/>
    <w:rsid w:val="00BF09E7"/>
    <w:rsid w:val="00BF1ABE"/>
    <w:rsid w:val="00BF43ED"/>
    <w:rsid w:val="00BF5208"/>
    <w:rsid w:val="00BF67E7"/>
    <w:rsid w:val="00C152A6"/>
    <w:rsid w:val="00C247B9"/>
    <w:rsid w:val="00C66AF9"/>
    <w:rsid w:val="00C9198A"/>
    <w:rsid w:val="00CD0355"/>
    <w:rsid w:val="00CF6FD5"/>
    <w:rsid w:val="00D02253"/>
    <w:rsid w:val="00D078B5"/>
    <w:rsid w:val="00D10C4B"/>
    <w:rsid w:val="00D13747"/>
    <w:rsid w:val="00D13C29"/>
    <w:rsid w:val="00D227F9"/>
    <w:rsid w:val="00D35F88"/>
    <w:rsid w:val="00D539C8"/>
    <w:rsid w:val="00D776C0"/>
    <w:rsid w:val="00D8670C"/>
    <w:rsid w:val="00D9051A"/>
    <w:rsid w:val="00DB018A"/>
    <w:rsid w:val="00DB26C0"/>
    <w:rsid w:val="00DB55DF"/>
    <w:rsid w:val="00DC226B"/>
    <w:rsid w:val="00DC2BFF"/>
    <w:rsid w:val="00DC63A8"/>
    <w:rsid w:val="00DC7A6E"/>
    <w:rsid w:val="00DD21D2"/>
    <w:rsid w:val="00DD34A7"/>
    <w:rsid w:val="00DE358B"/>
    <w:rsid w:val="00DE52EC"/>
    <w:rsid w:val="00DF4691"/>
    <w:rsid w:val="00DF488C"/>
    <w:rsid w:val="00DF5DC6"/>
    <w:rsid w:val="00E010E0"/>
    <w:rsid w:val="00E06438"/>
    <w:rsid w:val="00E25296"/>
    <w:rsid w:val="00E336DE"/>
    <w:rsid w:val="00E36193"/>
    <w:rsid w:val="00E52A7F"/>
    <w:rsid w:val="00E7164F"/>
    <w:rsid w:val="00E73CEE"/>
    <w:rsid w:val="00E86B97"/>
    <w:rsid w:val="00E91470"/>
    <w:rsid w:val="00E92718"/>
    <w:rsid w:val="00EB217C"/>
    <w:rsid w:val="00EB3BF6"/>
    <w:rsid w:val="00EC483F"/>
    <w:rsid w:val="00EC4F9A"/>
    <w:rsid w:val="00ED1437"/>
    <w:rsid w:val="00ED6FA5"/>
    <w:rsid w:val="00EE5CD8"/>
    <w:rsid w:val="00EF06B5"/>
    <w:rsid w:val="00EF4584"/>
    <w:rsid w:val="00F16C6F"/>
    <w:rsid w:val="00F2667F"/>
    <w:rsid w:val="00F41660"/>
    <w:rsid w:val="00F6196D"/>
    <w:rsid w:val="00F77D89"/>
    <w:rsid w:val="00F87C96"/>
    <w:rsid w:val="00F9001A"/>
    <w:rsid w:val="00FA178F"/>
    <w:rsid w:val="00FA36AF"/>
    <w:rsid w:val="00FD02FC"/>
    <w:rsid w:val="00FD6ED6"/>
    <w:rsid w:val="00FE32BC"/>
    <w:rsid w:val="00FE6B0F"/>
    <w:rsid w:val="00FF6385"/>
    <w:rsid w:val="020B6A0C"/>
    <w:rsid w:val="03455F4E"/>
    <w:rsid w:val="090B02E7"/>
    <w:rsid w:val="0A287A2F"/>
    <w:rsid w:val="0E1B1CC8"/>
    <w:rsid w:val="12E666D9"/>
    <w:rsid w:val="16100E5B"/>
    <w:rsid w:val="200565DE"/>
    <w:rsid w:val="20C718F8"/>
    <w:rsid w:val="25E5660F"/>
    <w:rsid w:val="276C4FA7"/>
    <w:rsid w:val="280C4AB6"/>
    <w:rsid w:val="327918B0"/>
    <w:rsid w:val="368B72F5"/>
    <w:rsid w:val="36D3537A"/>
    <w:rsid w:val="3C116ABC"/>
    <w:rsid w:val="3D225A90"/>
    <w:rsid w:val="3FE75341"/>
    <w:rsid w:val="465810C1"/>
    <w:rsid w:val="511B12F1"/>
    <w:rsid w:val="55C83CC2"/>
    <w:rsid w:val="56F2137D"/>
    <w:rsid w:val="56F8786D"/>
    <w:rsid w:val="59DD74BB"/>
    <w:rsid w:val="5A0B4443"/>
    <w:rsid w:val="5C182A2D"/>
    <w:rsid w:val="5C502358"/>
    <w:rsid w:val="603B13E0"/>
    <w:rsid w:val="6326232D"/>
    <w:rsid w:val="65E84971"/>
    <w:rsid w:val="67182F72"/>
    <w:rsid w:val="67DE3824"/>
    <w:rsid w:val="67F01CDE"/>
    <w:rsid w:val="69101BDD"/>
    <w:rsid w:val="69644F9F"/>
    <w:rsid w:val="6A265349"/>
    <w:rsid w:val="6F4F27B2"/>
    <w:rsid w:val="6F9E1043"/>
    <w:rsid w:val="71D8293B"/>
    <w:rsid w:val="78B31A40"/>
    <w:rsid w:val="79130486"/>
    <w:rsid w:val="7CF44998"/>
    <w:rsid w:val="7D6F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AA9CA"/>
  <w15:docId w15:val="{8DDC12E3-6BCA-45C5-BC45-DF494CC39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151</Words>
  <Characters>867</Characters>
  <Application>Microsoft Office Word</Application>
  <DocSecurity>0</DocSecurity>
  <Lines>7</Lines>
  <Paragraphs>2</Paragraphs>
  <ScaleCrop>false</ScaleCrop>
  <Company>HP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86189</cp:lastModifiedBy>
  <cp:revision>4</cp:revision>
  <dcterms:created xsi:type="dcterms:W3CDTF">2022-03-11T06:57:00Z</dcterms:created>
  <dcterms:modified xsi:type="dcterms:W3CDTF">2024-05-07T02:07:00Z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28DB04A150294C30BEC8287772B37E08</vt:lpwstr>
  </property>
</Properties>
</file>