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92"/>
      </w:pPr>
      <w:r>
        <w:rPr>
          <w:rFonts w:ascii="微软雅黑" w:hAnsi="微软雅黑" w:eastAsia="微软雅黑" w:cs="微软雅黑"/>
          <w:sz w:val="32"/>
        </w:rPr>
        <w:t xml:space="preserve">附件： </w:t>
      </w:r>
    </w:p>
    <w:p>
      <w:pPr>
        <w:spacing w:after="494"/>
        <w:ind w:left="137"/>
        <w:jc w:val="center"/>
      </w:pPr>
      <w:r>
        <w:rPr>
          <w:rFonts w:ascii="微软雅黑" w:hAnsi="微软雅黑" w:eastAsia="微软雅黑" w:cs="微软雅黑"/>
          <w:sz w:val="28"/>
        </w:rPr>
        <w:t xml:space="preserve"> </w:t>
      </w:r>
    </w:p>
    <w:p>
      <w:pPr>
        <w:pStyle w:val="2"/>
        <w:ind w:right="26"/>
        <w:jc w:val="center"/>
      </w:pPr>
      <w:r>
        <w:t>普通高等学校本科专业设置申请表</w:t>
      </w:r>
    </w:p>
    <w:p>
      <w:pPr>
        <w:spacing w:after="0"/>
        <w:ind w:left="125" w:hanging="10"/>
        <w:jc w:val="center"/>
      </w:pPr>
      <w:r>
        <w:rPr>
          <w:rFonts w:ascii="微软雅黑" w:hAnsi="微软雅黑" w:eastAsia="微软雅黑" w:cs="微软雅黑"/>
          <w:sz w:val="36"/>
        </w:rPr>
        <w:t>（2019年修订）</w:t>
      </w:r>
      <w:r>
        <w:rPr>
          <w:rFonts w:ascii="Times New Roman" w:hAnsi="Times New Roman" w:eastAsia="Times New Roman" w:cs="Times New Roman"/>
          <w:sz w:val="36"/>
          <w:vertAlign w:val="subscript"/>
        </w:rPr>
        <w:t xml:space="preserve"> </w:t>
      </w:r>
    </w:p>
    <w:p>
      <w:pPr>
        <w:spacing w:after="48"/>
        <w:ind w:left="77"/>
      </w:pPr>
    </w:p>
    <w:p>
      <w:pPr>
        <w:pStyle w:val="3"/>
        <w:spacing w:after="1" w:line="360" w:lineRule="auto"/>
        <w:ind w:left="1512" w:right="3658" w:hanging="14"/>
        <w:jc w:val="left"/>
        <w:rPr>
          <w:sz w:val="32"/>
          <w:szCs w:val="32"/>
        </w:rPr>
      </w:pPr>
      <w:r>
        <w:rPr>
          <w:sz w:val="32"/>
          <w:szCs w:val="32"/>
        </w:rPr>
        <w:t>校长签字：</w:t>
      </w:r>
      <w:r>
        <w:rPr>
          <w:rFonts w:hint="eastAsia"/>
          <w:sz w:val="32"/>
          <w:szCs w:val="32"/>
        </w:rPr>
        <w:t>周创兵</w:t>
      </w:r>
    </w:p>
    <w:p>
      <w:pPr>
        <w:pStyle w:val="3"/>
        <w:spacing w:after="1" w:line="360" w:lineRule="auto"/>
        <w:ind w:left="1512" w:right="3658" w:hanging="14"/>
        <w:jc w:val="left"/>
        <w:rPr>
          <w:sz w:val="32"/>
          <w:szCs w:val="32"/>
        </w:rPr>
      </w:pPr>
      <w:r>
        <w:rPr>
          <w:sz w:val="32"/>
          <w:szCs w:val="32"/>
        </w:rPr>
        <w:t>学校名称（盖章）：</w:t>
      </w:r>
      <w:r>
        <w:rPr>
          <w:rFonts w:hint="eastAsia"/>
          <w:sz w:val="32"/>
          <w:szCs w:val="32"/>
        </w:rPr>
        <w:t>南昌大学</w:t>
      </w:r>
    </w:p>
    <w:p>
      <w:pPr>
        <w:pStyle w:val="3"/>
        <w:spacing w:after="1" w:line="360" w:lineRule="auto"/>
        <w:ind w:left="1512" w:right="3658" w:hanging="14"/>
        <w:jc w:val="left"/>
        <w:rPr>
          <w:sz w:val="32"/>
          <w:szCs w:val="32"/>
        </w:rPr>
      </w:pPr>
      <w:r>
        <w:rPr>
          <w:sz w:val="32"/>
          <w:szCs w:val="32"/>
        </w:rPr>
        <w:t>学校主管部门：</w:t>
      </w:r>
      <w:r>
        <w:rPr>
          <w:rFonts w:hint="eastAsia"/>
          <w:sz w:val="32"/>
          <w:szCs w:val="32"/>
        </w:rPr>
        <w:t>江西省教育厅</w:t>
      </w:r>
    </w:p>
    <w:p>
      <w:pPr>
        <w:pStyle w:val="3"/>
        <w:spacing w:after="1" w:line="360" w:lineRule="auto"/>
        <w:ind w:left="1512" w:right="3658" w:hanging="14"/>
        <w:jc w:val="left"/>
        <w:rPr>
          <w:sz w:val="32"/>
          <w:szCs w:val="32"/>
        </w:rPr>
      </w:pPr>
      <w:r>
        <w:rPr>
          <w:sz w:val="32"/>
          <w:szCs w:val="32"/>
        </w:rPr>
        <w:t>专业名称：</w:t>
      </w:r>
      <w:r>
        <w:rPr>
          <w:rFonts w:hint="eastAsia"/>
          <w:sz w:val="32"/>
          <w:szCs w:val="32"/>
        </w:rPr>
        <w:t>临床医学</w:t>
      </w:r>
    </w:p>
    <w:p>
      <w:pPr>
        <w:pStyle w:val="3"/>
        <w:spacing w:after="1" w:line="360" w:lineRule="auto"/>
        <w:ind w:left="1512" w:right="3658" w:hanging="14"/>
        <w:jc w:val="left"/>
        <w:rPr>
          <w:sz w:val="32"/>
          <w:szCs w:val="32"/>
        </w:rPr>
      </w:pPr>
      <w:r>
        <w:rPr>
          <w:sz w:val="32"/>
          <w:szCs w:val="32"/>
        </w:rPr>
        <w:t>专业代码： 100201K</w:t>
      </w:r>
      <w:r>
        <w:rPr>
          <w:rFonts w:hint="eastAsia"/>
          <w:sz w:val="32"/>
          <w:szCs w:val="32"/>
        </w:rPr>
        <w:t>H</w:t>
      </w:r>
    </w:p>
    <w:p>
      <w:pPr>
        <w:pStyle w:val="3"/>
        <w:spacing w:after="1" w:line="360" w:lineRule="auto"/>
        <w:ind w:left="1508" w:right="0" w:hanging="11"/>
        <w:jc w:val="left"/>
        <w:rPr>
          <w:sz w:val="32"/>
          <w:szCs w:val="32"/>
        </w:rPr>
      </w:pPr>
      <w:r>
        <w:rPr>
          <w:sz w:val="32"/>
          <w:szCs w:val="32"/>
        </w:rPr>
        <w:t>所属学科门类及专业类：</w:t>
      </w:r>
      <w:r>
        <w:rPr>
          <w:rFonts w:hint="eastAsia"/>
          <w:sz w:val="32"/>
          <w:szCs w:val="32"/>
        </w:rPr>
        <w:t>医学 临床医学</w:t>
      </w:r>
    </w:p>
    <w:p>
      <w:pPr>
        <w:pStyle w:val="3"/>
        <w:spacing w:after="1" w:line="360" w:lineRule="auto"/>
        <w:ind w:left="1512" w:right="3658" w:hanging="14"/>
        <w:jc w:val="left"/>
        <w:rPr>
          <w:sz w:val="32"/>
          <w:szCs w:val="32"/>
        </w:rPr>
      </w:pPr>
      <w:r>
        <w:rPr>
          <w:sz w:val="32"/>
          <w:szCs w:val="32"/>
        </w:rPr>
        <w:t>学位授予门类：</w:t>
      </w:r>
      <w:r>
        <w:rPr>
          <w:rFonts w:hint="eastAsia"/>
          <w:sz w:val="32"/>
          <w:szCs w:val="32"/>
        </w:rPr>
        <w:t>医学</w:t>
      </w:r>
    </w:p>
    <w:p>
      <w:pPr>
        <w:pStyle w:val="3"/>
        <w:spacing w:after="1" w:line="360" w:lineRule="auto"/>
        <w:ind w:left="1512" w:right="3658" w:hanging="14"/>
        <w:jc w:val="left"/>
        <w:rPr>
          <w:sz w:val="32"/>
          <w:szCs w:val="32"/>
        </w:rPr>
      </w:pPr>
      <w:r>
        <w:rPr>
          <w:sz w:val="32"/>
          <w:szCs w:val="32"/>
        </w:rPr>
        <w:t>修业年限：</w:t>
      </w:r>
      <w:r>
        <w:rPr>
          <w:rFonts w:hint="eastAsia"/>
          <w:sz w:val="32"/>
          <w:szCs w:val="32"/>
        </w:rPr>
        <w:t>五年</w:t>
      </w:r>
    </w:p>
    <w:p>
      <w:pPr>
        <w:pStyle w:val="3"/>
        <w:spacing w:after="1" w:line="360" w:lineRule="auto"/>
        <w:ind w:left="1512" w:right="3658" w:hanging="14"/>
        <w:jc w:val="left"/>
        <w:rPr>
          <w:sz w:val="32"/>
          <w:szCs w:val="32"/>
        </w:rPr>
      </w:pPr>
      <w:r>
        <w:rPr>
          <w:sz w:val="32"/>
          <w:szCs w:val="32"/>
        </w:rPr>
        <w:t>申请时间：</w:t>
      </w:r>
      <w:r>
        <w:rPr>
          <w:rFonts w:hint="eastAsia"/>
          <w:sz w:val="32"/>
          <w:szCs w:val="32"/>
        </w:rPr>
        <w:t>2019年6月</w:t>
      </w:r>
    </w:p>
    <w:p>
      <w:pPr>
        <w:pStyle w:val="3"/>
        <w:spacing w:after="1" w:line="360" w:lineRule="auto"/>
        <w:ind w:left="1512" w:right="3658" w:hanging="14"/>
        <w:jc w:val="left"/>
        <w:rPr>
          <w:sz w:val="32"/>
          <w:szCs w:val="32"/>
        </w:rPr>
      </w:pPr>
      <w:r>
        <w:rPr>
          <w:sz w:val="32"/>
          <w:szCs w:val="32"/>
        </w:rPr>
        <w:t>专业负责人：</w:t>
      </w:r>
      <w:r>
        <w:rPr>
          <w:rFonts w:hint="eastAsia"/>
          <w:sz w:val="32"/>
          <w:szCs w:val="32"/>
        </w:rPr>
        <w:t>罗志军</w:t>
      </w:r>
    </w:p>
    <w:p>
      <w:pPr>
        <w:pStyle w:val="3"/>
        <w:spacing w:after="1" w:line="360" w:lineRule="auto"/>
        <w:ind w:left="1512" w:right="3658" w:hanging="14"/>
        <w:jc w:val="left"/>
        <w:rPr>
          <w:sz w:val="32"/>
          <w:szCs w:val="32"/>
        </w:rPr>
      </w:pPr>
      <w:r>
        <w:rPr>
          <w:sz w:val="32"/>
          <w:szCs w:val="32"/>
        </w:rPr>
        <w:t xml:space="preserve">联系电话： </w:t>
      </w:r>
      <w:r>
        <w:rPr>
          <w:rFonts w:hint="eastAsia"/>
          <w:sz w:val="32"/>
          <w:szCs w:val="32"/>
        </w:rPr>
        <w:t>13970897061</w:t>
      </w:r>
    </w:p>
    <w:p>
      <w:pPr>
        <w:spacing w:after="0"/>
        <w:ind w:left="1836"/>
      </w:pPr>
    </w:p>
    <w:p>
      <w:pPr>
        <w:spacing w:after="0"/>
        <w:ind w:left="1836"/>
      </w:pPr>
    </w:p>
    <w:p>
      <w:pPr>
        <w:spacing w:after="0"/>
        <w:ind w:left="1836"/>
      </w:pPr>
    </w:p>
    <w:p>
      <w:pPr>
        <w:spacing w:after="0"/>
        <w:ind w:left="1836"/>
      </w:pPr>
    </w:p>
    <w:p>
      <w:pPr>
        <w:spacing w:after="170"/>
        <w:ind w:left="125" w:right="43" w:hanging="10"/>
        <w:jc w:val="center"/>
      </w:pPr>
      <w:r>
        <w:rPr>
          <w:rFonts w:ascii="微软雅黑" w:hAnsi="微软雅黑" w:eastAsia="微软雅黑" w:cs="微软雅黑"/>
          <w:sz w:val="36"/>
        </w:rPr>
        <w:t>教育部制</w:t>
      </w:r>
      <w:r>
        <w:rPr>
          <w:rFonts w:ascii="Arial" w:hAnsi="Arial" w:eastAsia="Arial" w:cs="Arial"/>
          <w:sz w:val="36"/>
        </w:rPr>
        <w:t xml:space="preserve"> </w:t>
      </w:r>
    </w:p>
    <w:p>
      <w:r>
        <w:br w:type="page"/>
      </w:r>
    </w:p>
    <w:p>
      <w:pPr>
        <w:pStyle w:val="3"/>
        <w:ind w:right="26"/>
        <w:jc w:val="center"/>
      </w:pPr>
      <w:r>
        <w:t>1.学校基本情况</w:t>
      </w:r>
    </w:p>
    <w:p>
      <w:pPr>
        <w:spacing w:after="0"/>
        <w:ind w:left="77"/>
      </w:pPr>
      <w:r>
        <w:rPr>
          <w:rFonts w:ascii="微软雅黑" w:hAnsi="微软雅黑" w:eastAsia="微软雅黑" w:cs="微软雅黑"/>
          <w:sz w:val="24"/>
        </w:rPr>
        <w:t xml:space="preserve"> </w:t>
      </w:r>
    </w:p>
    <w:tbl>
      <w:tblPr>
        <w:tblStyle w:val="16"/>
        <w:tblW w:w="9573" w:type="dxa"/>
        <w:jc w:val="center"/>
        <w:tblInd w:w="0" w:type="dxa"/>
        <w:tblLayout w:type="fixed"/>
        <w:tblCellMar>
          <w:top w:w="79" w:type="dxa"/>
          <w:left w:w="106" w:type="dxa"/>
          <w:bottom w:w="0" w:type="dxa"/>
          <w:right w:w="60" w:type="dxa"/>
        </w:tblCellMar>
      </w:tblPr>
      <w:tblGrid>
        <w:gridCol w:w="1857"/>
        <w:gridCol w:w="1973"/>
        <w:gridCol w:w="838"/>
        <w:gridCol w:w="679"/>
        <w:gridCol w:w="1765"/>
        <w:gridCol w:w="351"/>
        <w:gridCol w:w="2110"/>
      </w:tblGrid>
      <w:tr>
        <w:tblPrEx>
          <w:tblLayout w:type="fixed"/>
          <w:tblCellMar>
            <w:top w:w="79" w:type="dxa"/>
            <w:left w:w="106" w:type="dxa"/>
            <w:bottom w:w="0" w:type="dxa"/>
            <w:right w:w="60" w:type="dxa"/>
          </w:tblCellMar>
        </w:tblPrEx>
        <w:trPr>
          <w:trHeight w:val="478"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6"/>
              <w:jc w:val="center"/>
            </w:pPr>
            <w:r>
              <w:rPr>
                <w:rFonts w:ascii="微软雅黑" w:hAnsi="微软雅黑" w:eastAsia="微软雅黑" w:cs="微软雅黑"/>
                <w:sz w:val="24"/>
              </w:rPr>
              <w:t>学校名称</w:t>
            </w:r>
            <w:r>
              <w:rPr>
                <w:rFonts w:ascii="Times New Roman" w:hAnsi="Times New Roman" w:eastAsia="Times New Roman" w:cs="Times New Roman"/>
                <w:sz w:val="24"/>
              </w:rPr>
              <w:t xml:space="preserve"> </w:t>
            </w:r>
          </w:p>
        </w:tc>
        <w:tc>
          <w:tcPr>
            <w:tcW w:w="19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
              <w:jc w:val="center"/>
              <w:rPr>
                <w:rFonts w:ascii="仿宋" w:hAnsi="仿宋" w:eastAsia="仿宋" w:cs="仿宋"/>
              </w:rPr>
            </w:pPr>
            <w:r>
              <w:rPr>
                <w:rFonts w:hint="eastAsia" w:ascii="仿宋" w:hAnsi="仿宋" w:eastAsia="仿宋" w:cs="仿宋"/>
                <w:sz w:val="26"/>
                <w:szCs w:val="26"/>
              </w:rPr>
              <w:t>南昌大学</w:t>
            </w:r>
          </w:p>
        </w:tc>
        <w:tc>
          <w:tcPr>
            <w:tcW w:w="151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73"/>
            </w:pPr>
            <w:r>
              <w:rPr>
                <w:rFonts w:ascii="微软雅黑" w:hAnsi="微软雅黑" w:eastAsia="微软雅黑" w:cs="微软雅黑"/>
                <w:sz w:val="24"/>
              </w:rPr>
              <w:t>学校代码</w:t>
            </w:r>
            <w:r>
              <w:rPr>
                <w:rFonts w:ascii="Times New Roman" w:hAnsi="Times New Roman" w:eastAsia="Times New Roman" w:cs="Times New Roman"/>
                <w:sz w:val="24"/>
              </w:rPr>
              <w:t xml:space="preserve"> </w:t>
            </w:r>
          </w:p>
        </w:tc>
        <w:tc>
          <w:tcPr>
            <w:tcW w:w="4226"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eastAsia="宋体"/>
              </w:rPr>
            </w:pPr>
            <w:r>
              <w:rPr>
                <w:rFonts w:hint="eastAsia" w:ascii="仿宋" w:hAnsi="仿宋" w:eastAsia="仿宋" w:cs="仿宋"/>
                <w:sz w:val="26"/>
                <w:szCs w:val="26"/>
              </w:rPr>
              <w:t>10403</w:t>
            </w:r>
          </w:p>
        </w:tc>
      </w:tr>
      <w:tr>
        <w:tblPrEx>
          <w:tblLayout w:type="fixed"/>
          <w:tblCellMar>
            <w:top w:w="79" w:type="dxa"/>
            <w:left w:w="106" w:type="dxa"/>
            <w:bottom w:w="0" w:type="dxa"/>
            <w:right w:w="60" w:type="dxa"/>
          </w:tblCellMar>
        </w:tblPrEx>
        <w:trPr>
          <w:trHeight w:val="478"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6"/>
              <w:jc w:val="center"/>
            </w:pPr>
            <w:r>
              <w:rPr>
                <w:rFonts w:ascii="微软雅黑" w:hAnsi="微软雅黑" w:eastAsia="微软雅黑" w:cs="微软雅黑"/>
                <w:sz w:val="24"/>
              </w:rPr>
              <w:t>邮政编码</w:t>
            </w:r>
            <w:r>
              <w:rPr>
                <w:rFonts w:ascii="Times New Roman" w:hAnsi="Times New Roman" w:eastAsia="Times New Roman" w:cs="Times New Roman"/>
                <w:sz w:val="24"/>
              </w:rPr>
              <w:t xml:space="preserve"> </w:t>
            </w:r>
          </w:p>
        </w:tc>
        <w:tc>
          <w:tcPr>
            <w:tcW w:w="19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
              <w:jc w:val="center"/>
              <w:rPr>
                <w:rFonts w:ascii="仿宋" w:hAnsi="仿宋" w:eastAsia="仿宋" w:cs="仿宋"/>
              </w:rPr>
            </w:pPr>
            <w:r>
              <w:rPr>
                <w:rFonts w:hint="eastAsia" w:ascii="仿宋" w:hAnsi="仿宋" w:eastAsia="仿宋" w:cs="仿宋"/>
                <w:sz w:val="26"/>
                <w:szCs w:val="26"/>
              </w:rPr>
              <w:t>330031</w:t>
            </w:r>
          </w:p>
        </w:tc>
        <w:tc>
          <w:tcPr>
            <w:tcW w:w="151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73"/>
            </w:pPr>
            <w:r>
              <w:rPr>
                <w:rFonts w:ascii="微软雅黑" w:hAnsi="微软雅黑" w:eastAsia="微软雅黑" w:cs="微软雅黑"/>
                <w:sz w:val="24"/>
              </w:rPr>
              <w:t>学校网址</w:t>
            </w:r>
            <w:r>
              <w:rPr>
                <w:rFonts w:ascii="Times New Roman" w:hAnsi="Times New Roman" w:eastAsia="Times New Roman" w:cs="Times New Roman"/>
                <w:sz w:val="24"/>
              </w:rPr>
              <w:t xml:space="preserve"> </w:t>
            </w:r>
          </w:p>
        </w:tc>
        <w:tc>
          <w:tcPr>
            <w:tcW w:w="4226"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hint="eastAsia" w:ascii="Times New Roman" w:hAnsi="Times New Roman" w:eastAsia="Times New Roman" w:cs="Times New Roman"/>
                <w:sz w:val="26"/>
                <w:szCs w:val="26"/>
              </w:rPr>
              <w:t>http://www.ncu.edu.cn/</w:t>
            </w:r>
          </w:p>
        </w:tc>
      </w:tr>
      <w:tr>
        <w:tblPrEx>
          <w:tblLayout w:type="fixed"/>
          <w:tblCellMar>
            <w:top w:w="79" w:type="dxa"/>
            <w:left w:w="106" w:type="dxa"/>
            <w:bottom w:w="0" w:type="dxa"/>
            <w:right w:w="60" w:type="dxa"/>
          </w:tblCellMar>
        </w:tblPrEx>
        <w:trPr>
          <w:trHeight w:val="946"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学校办学基本类型</w:t>
            </w:r>
            <w:r>
              <w:rPr>
                <w:rFonts w:ascii="Times New Roman" w:hAnsi="Times New Roman" w:eastAsia="Times New Roman" w:cs="Times New Roman"/>
                <w:sz w:val="24"/>
              </w:rPr>
              <w:t xml:space="preserve"> </w:t>
            </w:r>
          </w:p>
        </w:tc>
        <w:tc>
          <w:tcPr>
            <w:tcW w:w="7716" w:type="dxa"/>
            <w:gridSpan w:val="6"/>
            <w:tcBorders>
              <w:top w:val="single" w:color="000000" w:sz="4" w:space="0"/>
              <w:left w:val="single" w:color="000000" w:sz="4" w:space="0"/>
              <w:bottom w:val="single" w:color="000000" w:sz="4" w:space="0"/>
              <w:right w:val="single" w:color="000000" w:sz="4" w:space="0"/>
            </w:tcBorders>
            <w:vAlign w:val="center"/>
          </w:tcPr>
          <w:p>
            <w:pPr>
              <w:spacing w:after="178" w:line="240" w:lineRule="auto"/>
              <w:ind w:left="2"/>
            </w:pPr>
            <w:r>
              <w:rPr>
                <w:rFonts w:ascii="Times New Roman" w:hAnsi="Times New Roman" w:eastAsia="Times New Roman" w:cs="Times New Roman"/>
                <w:sz w:val="24"/>
              </w:rPr>
              <w:t>□</w:t>
            </w:r>
            <w:r>
              <w:rPr>
                <w:rFonts w:ascii="微软雅黑" w:hAnsi="微软雅黑" w:eastAsia="微软雅黑" w:cs="微软雅黑"/>
                <w:sz w:val="24"/>
              </w:rPr>
              <w:t>教育部直属院校</w:t>
            </w:r>
            <w:r>
              <w:rPr>
                <w:rFonts w:ascii="Times New Roman" w:hAnsi="Times New Roman" w:eastAsia="Times New Roman" w:cs="Times New Roman"/>
                <w:sz w:val="24"/>
              </w:rPr>
              <w:t xml:space="preserve">   □</w:t>
            </w:r>
            <w:r>
              <w:rPr>
                <w:rFonts w:ascii="微软雅黑" w:hAnsi="微软雅黑" w:eastAsia="微软雅黑" w:cs="微软雅黑"/>
                <w:sz w:val="24"/>
              </w:rPr>
              <w:t>其他部委所属院校</w:t>
            </w:r>
            <w:r>
              <w:rPr>
                <w:rFonts w:ascii="Times New Roman" w:hAnsi="Times New Roman" w:eastAsia="Times New Roman" w:cs="Times New Roman"/>
                <w:sz w:val="24"/>
              </w:rPr>
              <w:t xml:space="preserve">   </w:t>
            </w:r>
            <w:r>
              <w:rPr>
                <w:rFonts w:ascii="Times New Roman" w:hAnsi="Times New Roman" w:eastAsia="Times New Roman" w:cs="Times New Roman"/>
                <w:sz w:val="24"/>
              </w:rPr>
              <w:sym w:font="Wingdings 2" w:char="0052"/>
            </w:r>
            <w:r>
              <w:rPr>
                <w:rFonts w:ascii="微软雅黑" w:hAnsi="微软雅黑" w:eastAsia="微软雅黑" w:cs="微软雅黑"/>
                <w:sz w:val="24"/>
              </w:rPr>
              <w:t>地方院校</w:t>
            </w:r>
            <w:r>
              <w:rPr>
                <w:rFonts w:ascii="Times New Roman" w:hAnsi="Times New Roman" w:eastAsia="Times New Roman" w:cs="Times New Roman"/>
                <w:sz w:val="24"/>
              </w:rPr>
              <w:t xml:space="preserve"> </w:t>
            </w:r>
          </w:p>
          <w:p>
            <w:pPr>
              <w:spacing w:after="0" w:line="240" w:lineRule="auto"/>
              <w:ind w:left="2"/>
            </w:pPr>
            <w:r>
              <w:rPr>
                <w:rFonts w:ascii="Times New Roman" w:hAnsi="Times New Roman" w:eastAsia="Times New Roman" w:cs="Times New Roman"/>
                <w:sz w:val="24"/>
              </w:rPr>
              <w:sym w:font="Wingdings 2" w:char="0052"/>
            </w:r>
            <w:r>
              <w:rPr>
                <w:rFonts w:ascii="微软雅黑" w:hAnsi="微软雅黑" w:eastAsia="微软雅黑" w:cs="微软雅黑"/>
                <w:sz w:val="24"/>
              </w:rPr>
              <w:t>公办</w:t>
            </w:r>
            <w:r>
              <w:rPr>
                <w:rFonts w:ascii="Times New Roman" w:hAnsi="Times New Roman" w:eastAsia="Times New Roman" w:cs="Times New Roman"/>
                <w:sz w:val="24"/>
              </w:rPr>
              <w:t xml:space="preserve">   □</w:t>
            </w:r>
            <w:r>
              <w:rPr>
                <w:rFonts w:ascii="微软雅黑" w:hAnsi="微软雅黑" w:eastAsia="微软雅黑" w:cs="微软雅黑"/>
                <w:sz w:val="24"/>
              </w:rPr>
              <w:t>民办</w:t>
            </w:r>
            <w:r>
              <w:rPr>
                <w:rFonts w:ascii="Times New Roman" w:hAnsi="Times New Roman" w:eastAsia="Times New Roman" w:cs="Times New Roman"/>
                <w:sz w:val="24"/>
              </w:rPr>
              <w:t xml:space="preserve">   □</w:t>
            </w:r>
            <w:r>
              <w:rPr>
                <w:rFonts w:ascii="微软雅黑" w:hAnsi="微软雅黑" w:eastAsia="微软雅黑" w:cs="微软雅黑"/>
                <w:sz w:val="24"/>
              </w:rPr>
              <w:t>中外合作办学机构</w:t>
            </w:r>
            <w:r>
              <w:rPr>
                <w:rFonts w:ascii="Times New Roman" w:hAnsi="Times New Roman" w:eastAsia="Times New Roman" w:cs="Times New Roman"/>
                <w:sz w:val="24"/>
              </w:rPr>
              <w:t xml:space="preserve"> </w:t>
            </w:r>
          </w:p>
        </w:tc>
      </w:tr>
      <w:tr>
        <w:tblPrEx>
          <w:tblLayout w:type="fixed"/>
          <w:tblCellMar>
            <w:top w:w="79" w:type="dxa"/>
            <w:left w:w="106" w:type="dxa"/>
            <w:bottom w:w="0" w:type="dxa"/>
            <w:right w:w="60" w:type="dxa"/>
          </w:tblCellMar>
        </w:tblPrEx>
        <w:trPr>
          <w:trHeight w:val="802"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现有本科专业数</w:t>
            </w:r>
            <w:r>
              <w:rPr>
                <w:rFonts w:ascii="Times New Roman" w:hAnsi="Times New Roman" w:eastAsia="Times New Roman" w:cs="Times New Roman"/>
                <w:sz w:val="24"/>
              </w:rPr>
              <w:t xml:space="preserve"> </w:t>
            </w:r>
          </w:p>
        </w:tc>
        <w:tc>
          <w:tcPr>
            <w:tcW w:w="2811" w:type="dxa"/>
            <w:gridSpan w:val="2"/>
            <w:tcBorders>
              <w:top w:val="single" w:color="000000" w:sz="4" w:space="0"/>
              <w:left w:val="single" w:color="000000" w:sz="4" w:space="0"/>
              <w:bottom w:val="single" w:color="000000" w:sz="4" w:space="0"/>
              <w:right w:val="single" w:color="000000" w:sz="4" w:space="0"/>
            </w:tcBorders>
          </w:tcPr>
          <w:p>
            <w:pPr>
              <w:spacing w:after="0" w:line="240" w:lineRule="auto"/>
              <w:ind w:left="13"/>
              <w:jc w:val="center"/>
              <w:rPr>
                <w:rFonts w:ascii="仿宋" w:hAnsi="仿宋" w:eastAsia="仿宋" w:cs="仿宋"/>
                <w:sz w:val="24"/>
              </w:rPr>
            </w:pPr>
            <w:r>
              <w:rPr>
                <w:rFonts w:hint="eastAsia" w:ascii="仿宋" w:hAnsi="仿宋" w:eastAsia="仿宋" w:cs="仿宋"/>
                <w:sz w:val="24"/>
              </w:rPr>
              <w:t xml:space="preserve"> </w:t>
            </w:r>
          </w:p>
          <w:p>
            <w:pPr>
              <w:spacing w:after="0" w:line="240" w:lineRule="auto"/>
              <w:ind w:left="13"/>
              <w:jc w:val="center"/>
              <w:rPr>
                <w:rFonts w:ascii="仿宋" w:hAnsi="仿宋" w:eastAsia="仿宋" w:cs="仿宋"/>
              </w:rPr>
            </w:pPr>
            <w:r>
              <w:rPr>
                <w:rFonts w:hint="eastAsia" w:ascii="仿宋" w:hAnsi="仿宋" w:eastAsia="仿宋" w:cs="仿宋"/>
                <w:sz w:val="26"/>
                <w:szCs w:val="26"/>
              </w:rPr>
              <w:t>126个</w:t>
            </w:r>
          </w:p>
        </w:tc>
        <w:tc>
          <w:tcPr>
            <w:tcW w:w="244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上一年度全校本科招生人数</w:t>
            </w:r>
            <w:r>
              <w:rPr>
                <w:rFonts w:ascii="Times New Roman" w:hAnsi="Times New Roman" w:eastAsia="Times New Roman" w:cs="Times New Roman"/>
                <w:sz w:val="24"/>
              </w:rPr>
              <w:t xml:space="preserve"> </w:t>
            </w:r>
          </w:p>
        </w:tc>
        <w:tc>
          <w:tcPr>
            <w:tcW w:w="2461" w:type="dxa"/>
            <w:gridSpan w:val="2"/>
            <w:tcBorders>
              <w:top w:val="single" w:color="000000" w:sz="4" w:space="0"/>
              <w:left w:val="single" w:color="000000" w:sz="4" w:space="0"/>
              <w:bottom w:val="single" w:color="000000" w:sz="4" w:space="0"/>
              <w:right w:val="single" w:color="000000" w:sz="4" w:space="0"/>
            </w:tcBorders>
          </w:tcPr>
          <w:p>
            <w:pPr>
              <w:spacing w:after="0" w:line="240" w:lineRule="auto"/>
              <w:ind w:left="3"/>
              <w:rPr>
                <w:rFonts w:ascii="仿宋" w:hAnsi="仿宋" w:eastAsia="仿宋" w:cs="仿宋"/>
                <w:sz w:val="24"/>
              </w:rPr>
            </w:pPr>
            <w:r>
              <w:rPr>
                <w:rFonts w:hint="eastAsia" w:ascii="仿宋" w:hAnsi="仿宋" w:eastAsia="仿宋" w:cs="仿宋"/>
                <w:sz w:val="24"/>
              </w:rPr>
              <w:t xml:space="preserve"> </w:t>
            </w:r>
          </w:p>
          <w:p>
            <w:pPr>
              <w:spacing w:after="0" w:line="240" w:lineRule="auto"/>
              <w:ind w:left="3"/>
              <w:jc w:val="center"/>
              <w:rPr>
                <w:rFonts w:ascii="仿宋" w:hAnsi="仿宋" w:eastAsia="仿宋" w:cs="仿宋"/>
              </w:rPr>
            </w:pPr>
            <w:r>
              <w:rPr>
                <w:rFonts w:hint="eastAsia" w:ascii="仿宋" w:hAnsi="仿宋" w:eastAsia="仿宋" w:cs="仿宋"/>
                <w:sz w:val="26"/>
                <w:szCs w:val="26"/>
              </w:rPr>
              <w:t>8134人</w:t>
            </w:r>
          </w:p>
        </w:tc>
      </w:tr>
      <w:tr>
        <w:tblPrEx>
          <w:tblLayout w:type="fixed"/>
          <w:tblCellMar>
            <w:top w:w="79" w:type="dxa"/>
            <w:left w:w="106" w:type="dxa"/>
            <w:bottom w:w="0" w:type="dxa"/>
            <w:right w:w="60" w:type="dxa"/>
          </w:tblCellMar>
        </w:tblPrEx>
        <w:trPr>
          <w:trHeight w:val="946"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
              <w:jc w:val="center"/>
            </w:pPr>
            <w:r>
              <w:rPr>
                <w:rFonts w:ascii="微软雅黑" w:hAnsi="微软雅黑" w:eastAsia="微软雅黑" w:cs="微软雅黑"/>
                <w:sz w:val="24"/>
              </w:rPr>
              <w:t>上一年度全校本科毕业人数</w:t>
            </w:r>
          </w:p>
        </w:tc>
        <w:tc>
          <w:tcPr>
            <w:tcW w:w="2811" w:type="dxa"/>
            <w:gridSpan w:val="2"/>
            <w:tcBorders>
              <w:top w:val="single" w:color="000000" w:sz="4" w:space="0"/>
              <w:left w:val="single" w:color="000000" w:sz="4" w:space="0"/>
              <w:bottom w:val="single" w:color="000000" w:sz="4" w:space="0"/>
              <w:right w:val="single" w:color="000000" w:sz="4" w:space="0"/>
            </w:tcBorders>
          </w:tcPr>
          <w:p>
            <w:pPr>
              <w:spacing w:after="0" w:line="240" w:lineRule="auto"/>
              <w:ind w:left="2"/>
              <w:rPr>
                <w:rFonts w:ascii="仿宋" w:hAnsi="仿宋" w:eastAsia="仿宋" w:cs="仿宋"/>
                <w:sz w:val="24"/>
              </w:rPr>
            </w:pPr>
            <w:r>
              <w:rPr>
                <w:rFonts w:hint="eastAsia" w:ascii="仿宋" w:hAnsi="仿宋" w:eastAsia="仿宋" w:cs="仿宋"/>
                <w:sz w:val="24"/>
              </w:rPr>
              <w:t xml:space="preserve"> </w:t>
            </w:r>
          </w:p>
          <w:p>
            <w:pPr>
              <w:spacing w:after="0" w:line="240" w:lineRule="auto"/>
              <w:ind w:left="2"/>
              <w:jc w:val="center"/>
              <w:rPr>
                <w:rFonts w:ascii="仿宋" w:hAnsi="仿宋" w:eastAsia="仿宋" w:cs="仿宋"/>
                <w:sz w:val="24"/>
              </w:rPr>
            </w:pPr>
            <w:r>
              <w:rPr>
                <w:rFonts w:hint="eastAsia" w:ascii="仿宋" w:hAnsi="仿宋" w:eastAsia="仿宋" w:cs="仿宋"/>
                <w:sz w:val="26"/>
                <w:szCs w:val="26"/>
              </w:rPr>
              <w:t>8</w:t>
            </w:r>
            <w:r>
              <w:rPr>
                <w:rFonts w:hint="eastAsia" w:ascii="仿宋" w:hAnsi="仿宋" w:eastAsia="仿宋" w:cs="仿宋"/>
                <w:sz w:val="26"/>
                <w:szCs w:val="26"/>
                <w:lang w:val="en-US" w:eastAsia="zh-CN"/>
              </w:rPr>
              <w:t>413</w:t>
            </w:r>
            <w:r>
              <w:rPr>
                <w:rFonts w:hint="eastAsia" w:ascii="仿宋" w:hAnsi="仿宋" w:eastAsia="仿宋" w:cs="仿宋"/>
                <w:sz w:val="26"/>
                <w:szCs w:val="26"/>
              </w:rPr>
              <w:t>人</w:t>
            </w:r>
          </w:p>
        </w:tc>
        <w:tc>
          <w:tcPr>
            <w:tcW w:w="244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76"/>
            </w:pPr>
            <w:r>
              <w:rPr>
                <w:rFonts w:ascii="微软雅黑" w:hAnsi="微软雅黑" w:eastAsia="微软雅黑" w:cs="微软雅黑"/>
                <w:sz w:val="24"/>
              </w:rPr>
              <w:t>学校所在省市区</w:t>
            </w:r>
            <w:r>
              <w:rPr>
                <w:rFonts w:ascii="Times New Roman" w:hAnsi="Times New Roman" w:eastAsia="Times New Roman" w:cs="Times New Roman"/>
                <w:sz w:val="24"/>
              </w:rPr>
              <w:t xml:space="preserve"> </w:t>
            </w:r>
          </w:p>
        </w:tc>
        <w:tc>
          <w:tcPr>
            <w:tcW w:w="2461" w:type="dxa"/>
            <w:gridSpan w:val="2"/>
            <w:tcBorders>
              <w:top w:val="single" w:color="000000" w:sz="4" w:space="0"/>
              <w:left w:val="single" w:color="000000" w:sz="4" w:space="0"/>
              <w:bottom w:val="single" w:color="000000" w:sz="4" w:space="0"/>
              <w:right w:val="single" w:color="000000" w:sz="4" w:space="0"/>
            </w:tcBorders>
          </w:tcPr>
          <w:p>
            <w:pPr>
              <w:spacing w:after="0" w:line="240" w:lineRule="auto"/>
              <w:ind w:left="3"/>
              <w:rPr>
                <w:rFonts w:ascii="仿宋" w:hAnsi="仿宋" w:eastAsia="仿宋" w:cs="仿宋"/>
                <w:sz w:val="24"/>
              </w:rPr>
            </w:pPr>
            <w:r>
              <w:rPr>
                <w:rFonts w:hint="eastAsia" w:ascii="仿宋" w:hAnsi="仿宋" w:eastAsia="仿宋" w:cs="仿宋"/>
                <w:sz w:val="24"/>
              </w:rPr>
              <w:t xml:space="preserve"> </w:t>
            </w:r>
          </w:p>
          <w:p>
            <w:pPr>
              <w:spacing w:after="0" w:line="240" w:lineRule="auto"/>
              <w:ind w:left="3"/>
              <w:jc w:val="center"/>
              <w:rPr>
                <w:rFonts w:ascii="仿宋" w:hAnsi="仿宋" w:eastAsia="仿宋" w:cs="仿宋"/>
              </w:rPr>
            </w:pPr>
            <w:r>
              <w:rPr>
                <w:rFonts w:hint="eastAsia" w:ascii="仿宋" w:hAnsi="仿宋" w:eastAsia="仿宋" w:cs="仿宋"/>
                <w:sz w:val="26"/>
                <w:szCs w:val="26"/>
              </w:rPr>
              <w:t>江西省南昌市</w:t>
            </w:r>
          </w:p>
        </w:tc>
      </w:tr>
      <w:tr>
        <w:tblPrEx>
          <w:tblLayout w:type="fixed"/>
          <w:tblCellMar>
            <w:top w:w="79" w:type="dxa"/>
            <w:left w:w="106" w:type="dxa"/>
            <w:bottom w:w="0" w:type="dxa"/>
            <w:right w:w="60" w:type="dxa"/>
          </w:tblCellMar>
        </w:tblPrEx>
        <w:trPr>
          <w:trHeight w:val="950"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已有专业学科门类</w:t>
            </w:r>
            <w:r>
              <w:rPr>
                <w:rFonts w:ascii="Times New Roman" w:hAnsi="Times New Roman" w:eastAsia="Times New Roman" w:cs="Times New Roman"/>
                <w:sz w:val="24"/>
              </w:rPr>
              <w:t xml:space="preserve"> </w:t>
            </w:r>
          </w:p>
        </w:tc>
        <w:tc>
          <w:tcPr>
            <w:tcW w:w="7716" w:type="dxa"/>
            <w:gridSpan w:val="6"/>
            <w:tcBorders>
              <w:top w:val="single" w:color="000000" w:sz="4" w:space="0"/>
              <w:left w:val="single" w:color="000000" w:sz="4" w:space="0"/>
              <w:bottom w:val="single" w:color="000000" w:sz="4" w:space="0"/>
              <w:right w:val="single" w:color="000000" w:sz="4" w:space="0"/>
            </w:tcBorders>
            <w:vAlign w:val="center"/>
          </w:tcPr>
          <w:p>
            <w:pPr>
              <w:spacing w:after="96" w:line="240" w:lineRule="auto"/>
              <w:ind w:left="2"/>
            </w:pPr>
            <w:r>
              <w:rPr>
                <w:rFonts w:ascii="Times New Roman" w:hAnsi="Times New Roman" w:eastAsia="Times New Roman" w:cs="Times New Roman"/>
                <w:sz w:val="24"/>
              </w:rPr>
              <w:sym w:font="Wingdings 2" w:char="0052"/>
            </w:r>
            <w:r>
              <w:rPr>
                <w:rFonts w:ascii="微软雅黑" w:hAnsi="微软雅黑" w:eastAsia="微软雅黑" w:cs="微软雅黑"/>
                <w:sz w:val="24"/>
              </w:rPr>
              <w:t>哲学</w:t>
            </w:r>
            <w:r>
              <w:rPr>
                <w:rFonts w:ascii="Times New Roman" w:hAnsi="Times New Roman" w:eastAsia="Times New Roman" w:cs="Times New Roman"/>
                <w:sz w:val="24"/>
              </w:rPr>
              <w:t xml:space="preserve">   </w:t>
            </w:r>
            <w:r>
              <w:rPr>
                <w:rFonts w:ascii="Times New Roman" w:hAnsi="Times New Roman" w:eastAsia="Times New Roman" w:cs="Times New Roman"/>
                <w:sz w:val="24"/>
              </w:rPr>
              <w:sym w:font="Wingdings 2" w:char="0052"/>
            </w:r>
            <w:r>
              <w:rPr>
                <w:rFonts w:ascii="微软雅黑" w:hAnsi="微软雅黑" w:eastAsia="微软雅黑" w:cs="微软雅黑"/>
                <w:sz w:val="24"/>
              </w:rPr>
              <w:t>经济学</w:t>
            </w:r>
            <w:r>
              <w:rPr>
                <w:rFonts w:ascii="Times New Roman" w:hAnsi="Times New Roman" w:eastAsia="Times New Roman" w:cs="Times New Roman"/>
                <w:sz w:val="24"/>
              </w:rPr>
              <w:t xml:space="preserve">   </w:t>
            </w:r>
            <w:r>
              <w:rPr>
                <w:rFonts w:ascii="Times New Roman" w:hAnsi="Times New Roman" w:eastAsia="Times New Roman" w:cs="Times New Roman"/>
                <w:sz w:val="24"/>
              </w:rPr>
              <w:sym w:font="Wingdings 2" w:char="0052"/>
            </w:r>
            <w:r>
              <w:rPr>
                <w:rFonts w:ascii="微软雅黑" w:hAnsi="微软雅黑" w:eastAsia="微软雅黑" w:cs="微软雅黑"/>
                <w:sz w:val="24"/>
              </w:rPr>
              <w:t>法学</w:t>
            </w:r>
            <w:r>
              <w:rPr>
                <w:rFonts w:ascii="Times New Roman" w:hAnsi="Times New Roman" w:eastAsia="Times New Roman" w:cs="Times New Roman"/>
                <w:sz w:val="24"/>
              </w:rPr>
              <w:t xml:space="preserve">   </w:t>
            </w:r>
            <w:r>
              <w:rPr>
                <w:rFonts w:ascii="Times New Roman" w:hAnsi="Times New Roman" w:eastAsia="Times New Roman" w:cs="Times New Roman"/>
                <w:sz w:val="24"/>
              </w:rPr>
              <w:sym w:font="Wingdings 2" w:char="0052"/>
            </w:r>
            <w:r>
              <w:rPr>
                <w:rFonts w:ascii="微软雅黑" w:hAnsi="微软雅黑" w:eastAsia="微软雅黑" w:cs="微软雅黑"/>
                <w:sz w:val="24"/>
              </w:rPr>
              <w:t>教育学</w:t>
            </w:r>
            <w:r>
              <w:rPr>
                <w:rFonts w:ascii="Times New Roman" w:hAnsi="Times New Roman" w:eastAsia="Times New Roman" w:cs="Times New Roman"/>
                <w:sz w:val="24"/>
              </w:rPr>
              <w:t xml:space="preserve">   </w:t>
            </w:r>
            <w:r>
              <w:rPr>
                <w:rFonts w:ascii="Times New Roman" w:hAnsi="Times New Roman" w:eastAsia="Times New Roman" w:cs="Times New Roman"/>
                <w:sz w:val="24"/>
              </w:rPr>
              <w:sym w:font="Wingdings 2" w:char="0052"/>
            </w:r>
            <w:r>
              <w:rPr>
                <w:rFonts w:ascii="微软雅黑" w:hAnsi="微软雅黑" w:eastAsia="微软雅黑" w:cs="微软雅黑"/>
                <w:sz w:val="24"/>
              </w:rPr>
              <w:t>文学</w:t>
            </w:r>
            <w:r>
              <w:rPr>
                <w:rFonts w:ascii="Times New Roman" w:hAnsi="Times New Roman" w:eastAsia="Times New Roman" w:cs="Times New Roman"/>
                <w:sz w:val="24"/>
              </w:rPr>
              <w:t xml:space="preserve">    </w:t>
            </w:r>
            <w:r>
              <w:rPr>
                <w:rFonts w:ascii="Times New Roman" w:hAnsi="Times New Roman" w:eastAsia="Times New Roman" w:cs="Times New Roman"/>
                <w:sz w:val="24"/>
              </w:rPr>
              <w:sym w:font="Wingdings 2" w:char="0052"/>
            </w:r>
            <w:r>
              <w:rPr>
                <w:rFonts w:ascii="微软雅黑" w:hAnsi="微软雅黑" w:eastAsia="微软雅黑" w:cs="微软雅黑"/>
                <w:sz w:val="24"/>
              </w:rPr>
              <w:t>历史学</w:t>
            </w:r>
            <w:r>
              <w:rPr>
                <w:rFonts w:ascii="Times New Roman" w:hAnsi="Times New Roman" w:eastAsia="Times New Roman" w:cs="Times New Roman"/>
                <w:sz w:val="24"/>
              </w:rPr>
              <w:t xml:space="preserve"> </w:t>
            </w:r>
          </w:p>
          <w:p>
            <w:pPr>
              <w:spacing w:after="0" w:line="240" w:lineRule="auto"/>
              <w:ind w:left="2"/>
            </w:pPr>
            <w:r>
              <w:rPr>
                <w:rFonts w:ascii="Times New Roman" w:hAnsi="Times New Roman" w:eastAsia="Times New Roman" w:cs="Times New Roman"/>
                <w:sz w:val="24"/>
              </w:rPr>
              <w:sym w:font="Wingdings 2" w:char="0052"/>
            </w:r>
            <w:r>
              <w:rPr>
                <w:rFonts w:ascii="微软雅黑" w:hAnsi="微软雅黑" w:eastAsia="微软雅黑" w:cs="微软雅黑"/>
                <w:sz w:val="24"/>
              </w:rPr>
              <w:t>理学</w:t>
            </w:r>
            <w:r>
              <w:rPr>
                <w:rFonts w:ascii="Times New Roman" w:hAnsi="Times New Roman" w:eastAsia="Times New Roman" w:cs="Times New Roman"/>
                <w:sz w:val="24"/>
              </w:rPr>
              <w:t xml:space="preserve">   </w:t>
            </w:r>
            <w:r>
              <w:rPr>
                <w:rFonts w:ascii="Times New Roman" w:hAnsi="Times New Roman" w:eastAsia="Times New Roman" w:cs="Times New Roman"/>
                <w:sz w:val="24"/>
              </w:rPr>
              <w:sym w:font="Wingdings 2" w:char="0052"/>
            </w:r>
            <w:r>
              <w:rPr>
                <w:rFonts w:ascii="微软雅黑" w:hAnsi="微软雅黑" w:eastAsia="微软雅黑" w:cs="微软雅黑"/>
                <w:sz w:val="24"/>
              </w:rPr>
              <w:t>工学</w:t>
            </w:r>
            <w:r>
              <w:rPr>
                <w:rFonts w:ascii="Times New Roman" w:hAnsi="Times New Roman" w:eastAsia="Times New Roman" w:cs="Times New Roman"/>
                <w:sz w:val="24"/>
              </w:rPr>
              <w:t xml:space="preserve">     </w:t>
            </w:r>
            <w:r>
              <w:rPr>
                <w:rFonts w:ascii="Times New Roman" w:hAnsi="Times New Roman" w:eastAsia="Times New Roman" w:cs="Times New Roman"/>
                <w:sz w:val="24"/>
              </w:rPr>
              <w:sym w:font="Wingdings 2" w:char="0052"/>
            </w:r>
            <w:r>
              <w:rPr>
                <w:rFonts w:ascii="微软雅黑" w:hAnsi="微软雅黑" w:eastAsia="微软雅黑" w:cs="微软雅黑"/>
                <w:sz w:val="24"/>
              </w:rPr>
              <w:t>农学</w:t>
            </w:r>
            <w:r>
              <w:rPr>
                <w:rFonts w:ascii="Times New Roman" w:hAnsi="Times New Roman" w:eastAsia="Times New Roman" w:cs="Times New Roman"/>
                <w:sz w:val="24"/>
              </w:rPr>
              <w:t xml:space="preserve">   </w:t>
            </w:r>
            <w:r>
              <w:rPr>
                <w:rFonts w:ascii="Times New Roman" w:hAnsi="Times New Roman" w:eastAsia="Times New Roman" w:cs="Times New Roman"/>
                <w:sz w:val="24"/>
              </w:rPr>
              <w:sym w:font="Wingdings 2" w:char="0052"/>
            </w:r>
            <w:r>
              <w:rPr>
                <w:rFonts w:ascii="微软雅黑" w:hAnsi="微软雅黑" w:eastAsia="微软雅黑" w:cs="微软雅黑"/>
                <w:sz w:val="24"/>
              </w:rPr>
              <w:t>医学</w:t>
            </w:r>
            <w:r>
              <w:rPr>
                <w:rFonts w:ascii="Times New Roman" w:hAnsi="Times New Roman" w:eastAsia="Times New Roman" w:cs="Times New Roman"/>
                <w:sz w:val="24"/>
              </w:rPr>
              <w:t xml:space="preserve">     </w:t>
            </w:r>
            <w:r>
              <w:rPr>
                <w:rFonts w:ascii="Times New Roman" w:hAnsi="Times New Roman" w:eastAsia="Times New Roman" w:cs="Times New Roman"/>
                <w:sz w:val="24"/>
              </w:rPr>
              <w:sym w:font="Wingdings 2" w:char="0052"/>
            </w:r>
            <w:r>
              <w:rPr>
                <w:rFonts w:ascii="微软雅黑" w:hAnsi="微软雅黑" w:eastAsia="微软雅黑" w:cs="微软雅黑"/>
                <w:sz w:val="24"/>
              </w:rPr>
              <w:t>管理学</w:t>
            </w:r>
            <w:r>
              <w:rPr>
                <w:rFonts w:ascii="Times New Roman" w:hAnsi="Times New Roman" w:eastAsia="Times New Roman" w:cs="Times New Roman"/>
                <w:sz w:val="24"/>
              </w:rPr>
              <w:t xml:space="preserve">  </w:t>
            </w:r>
            <w:r>
              <w:rPr>
                <w:rFonts w:ascii="Times New Roman" w:hAnsi="Times New Roman" w:eastAsia="Times New Roman" w:cs="Times New Roman"/>
                <w:sz w:val="24"/>
              </w:rPr>
              <w:sym w:font="Wingdings 2" w:char="0052"/>
            </w:r>
            <w:r>
              <w:rPr>
                <w:rFonts w:ascii="微软雅黑" w:hAnsi="微软雅黑" w:eastAsia="微软雅黑" w:cs="微软雅黑"/>
                <w:sz w:val="24"/>
              </w:rPr>
              <w:t>艺术学</w:t>
            </w:r>
            <w:r>
              <w:rPr>
                <w:rFonts w:ascii="Times New Roman" w:hAnsi="Times New Roman" w:eastAsia="Times New Roman" w:cs="Times New Roman"/>
                <w:sz w:val="24"/>
              </w:rPr>
              <w:t xml:space="preserve"> </w:t>
            </w:r>
          </w:p>
        </w:tc>
      </w:tr>
      <w:tr>
        <w:tblPrEx>
          <w:tblLayout w:type="fixed"/>
          <w:tblCellMar>
            <w:top w:w="79" w:type="dxa"/>
            <w:left w:w="106" w:type="dxa"/>
            <w:bottom w:w="0" w:type="dxa"/>
            <w:right w:w="60" w:type="dxa"/>
          </w:tblCellMar>
        </w:tblPrEx>
        <w:trPr>
          <w:trHeight w:val="950"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6"/>
              <w:jc w:val="center"/>
            </w:pPr>
            <w:r>
              <w:rPr>
                <w:rFonts w:ascii="微软雅黑" w:hAnsi="微软雅黑" w:eastAsia="微软雅黑" w:cs="微软雅黑"/>
                <w:sz w:val="24"/>
              </w:rPr>
              <w:t>学校性质</w:t>
            </w:r>
            <w:r>
              <w:rPr>
                <w:rFonts w:ascii="Times New Roman" w:hAnsi="Times New Roman" w:eastAsia="Times New Roman" w:cs="Times New Roman"/>
                <w:sz w:val="24"/>
              </w:rPr>
              <w:t xml:space="preserve"> </w:t>
            </w:r>
          </w:p>
        </w:tc>
        <w:tc>
          <w:tcPr>
            <w:tcW w:w="7716" w:type="dxa"/>
            <w:gridSpan w:val="6"/>
            <w:tcBorders>
              <w:top w:val="single" w:color="000000" w:sz="4" w:space="0"/>
              <w:left w:val="single" w:color="000000" w:sz="4" w:space="0"/>
              <w:bottom w:val="single" w:color="000000" w:sz="4" w:space="0"/>
              <w:right w:val="single" w:color="000000" w:sz="4" w:space="0"/>
            </w:tcBorders>
            <w:vAlign w:val="center"/>
          </w:tcPr>
          <w:p>
            <w:pPr>
              <w:numPr>
                <w:ilvl w:val="0"/>
                <w:numId w:val="1"/>
              </w:numPr>
              <w:spacing w:after="14" w:line="240" w:lineRule="auto"/>
            </w:pPr>
            <w:r>
              <w:rPr>
                <w:rFonts w:ascii="微软雅黑" w:hAnsi="微软雅黑" w:eastAsia="微软雅黑" w:cs="微软雅黑"/>
                <w:sz w:val="24"/>
              </w:rPr>
              <w:t>综合</w:t>
            </w:r>
            <w:r>
              <w:rPr>
                <w:rFonts w:ascii="Times New Roman" w:hAnsi="Times New Roman" w:eastAsia="Times New Roman" w:cs="Times New Roman"/>
                <w:sz w:val="24"/>
              </w:rPr>
              <w:t xml:space="preserve">   </w:t>
            </w:r>
            <w:r>
              <w:rPr>
                <w:rFonts w:ascii="微软雅黑" w:hAnsi="微软雅黑" w:eastAsia="微软雅黑" w:cs="微软雅黑"/>
                <w:sz w:val="24"/>
              </w:rPr>
              <w:t>○理工</w:t>
            </w:r>
            <w:r>
              <w:rPr>
                <w:rFonts w:ascii="Times New Roman" w:hAnsi="Times New Roman" w:eastAsia="Times New Roman" w:cs="Times New Roman"/>
                <w:sz w:val="24"/>
              </w:rPr>
              <w:t xml:space="preserve">   </w:t>
            </w:r>
            <w:r>
              <w:rPr>
                <w:rFonts w:ascii="微软雅黑" w:hAnsi="微软雅黑" w:eastAsia="微软雅黑" w:cs="微软雅黑"/>
                <w:sz w:val="24"/>
              </w:rPr>
              <w:t>○农业</w:t>
            </w:r>
            <w:r>
              <w:rPr>
                <w:rFonts w:ascii="Times New Roman" w:hAnsi="Times New Roman" w:eastAsia="Times New Roman" w:cs="Times New Roman"/>
                <w:sz w:val="24"/>
              </w:rPr>
              <w:t xml:space="preserve">   </w:t>
            </w:r>
            <w:r>
              <w:rPr>
                <w:rFonts w:ascii="微软雅黑" w:hAnsi="微软雅黑" w:eastAsia="微软雅黑" w:cs="微软雅黑"/>
                <w:sz w:val="24"/>
              </w:rPr>
              <w:t>○林业</w:t>
            </w:r>
            <w:r>
              <w:rPr>
                <w:rFonts w:ascii="Times New Roman" w:hAnsi="Times New Roman" w:eastAsia="Times New Roman" w:cs="Times New Roman"/>
                <w:sz w:val="24"/>
              </w:rPr>
              <w:t xml:space="preserve">   </w:t>
            </w:r>
            <w:r>
              <w:rPr>
                <w:rFonts w:ascii="微软雅黑" w:hAnsi="微软雅黑" w:eastAsia="微软雅黑" w:cs="微软雅黑"/>
                <w:sz w:val="24"/>
              </w:rPr>
              <w:t>○医药</w:t>
            </w:r>
            <w:r>
              <w:rPr>
                <w:rFonts w:ascii="Times New Roman" w:hAnsi="Times New Roman" w:eastAsia="Times New Roman" w:cs="Times New Roman"/>
                <w:sz w:val="24"/>
              </w:rPr>
              <w:t xml:space="preserve">   </w:t>
            </w:r>
            <w:r>
              <w:rPr>
                <w:rFonts w:ascii="微软雅黑" w:hAnsi="微软雅黑" w:eastAsia="微软雅黑" w:cs="微软雅黑"/>
                <w:sz w:val="24"/>
              </w:rPr>
              <w:t>○师范</w:t>
            </w:r>
            <w:r>
              <w:rPr>
                <w:rFonts w:ascii="Times New Roman" w:hAnsi="Times New Roman" w:eastAsia="Times New Roman" w:cs="Times New Roman"/>
                <w:sz w:val="24"/>
              </w:rPr>
              <w:t xml:space="preserve"> </w:t>
            </w:r>
          </w:p>
          <w:p>
            <w:pPr>
              <w:spacing w:after="0" w:line="240" w:lineRule="auto"/>
              <w:ind w:left="2"/>
            </w:pPr>
            <w:r>
              <w:rPr>
                <w:rFonts w:ascii="微软雅黑" w:hAnsi="微软雅黑" w:eastAsia="微软雅黑" w:cs="微软雅黑"/>
                <w:sz w:val="24"/>
              </w:rPr>
              <w:t>○语言</w:t>
            </w:r>
            <w:r>
              <w:rPr>
                <w:rFonts w:ascii="Times New Roman" w:hAnsi="Times New Roman" w:eastAsia="Times New Roman" w:cs="Times New Roman"/>
                <w:sz w:val="24"/>
              </w:rPr>
              <w:t xml:space="preserve">   </w:t>
            </w:r>
            <w:r>
              <w:rPr>
                <w:rFonts w:ascii="微软雅黑" w:hAnsi="微软雅黑" w:eastAsia="微软雅黑" w:cs="微软雅黑"/>
                <w:sz w:val="24"/>
              </w:rPr>
              <w:t>○财经</w:t>
            </w:r>
            <w:r>
              <w:rPr>
                <w:rFonts w:ascii="Times New Roman" w:hAnsi="Times New Roman" w:eastAsia="Times New Roman" w:cs="Times New Roman"/>
                <w:sz w:val="24"/>
              </w:rPr>
              <w:t xml:space="preserve">   </w:t>
            </w:r>
            <w:r>
              <w:rPr>
                <w:rFonts w:ascii="微软雅黑" w:hAnsi="微软雅黑" w:eastAsia="微软雅黑" w:cs="微软雅黑"/>
                <w:sz w:val="24"/>
              </w:rPr>
              <w:t>○政法</w:t>
            </w:r>
            <w:r>
              <w:rPr>
                <w:rFonts w:ascii="Times New Roman" w:hAnsi="Times New Roman" w:eastAsia="Times New Roman" w:cs="Times New Roman"/>
                <w:sz w:val="24"/>
              </w:rPr>
              <w:t xml:space="preserve">   </w:t>
            </w:r>
            <w:r>
              <w:rPr>
                <w:rFonts w:ascii="微软雅黑" w:hAnsi="微软雅黑" w:eastAsia="微软雅黑" w:cs="微软雅黑"/>
                <w:sz w:val="24"/>
              </w:rPr>
              <w:t>○体育</w:t>
            </w:r>
            <w:r>
              <w:rPr>
                <w:rFonts w:ascii="Times New Roman" w:hAnsi="Times New Roman" w:eastAsia="Times New Roman" w:cs="Times New Roman"/>
                <w:sz w:val="24"/>
              </w:rPr>
              <w:t xml:space="preserve">   </w:t>
            </w:r>
            <w:r>
              <w:rPr>
                <w:rFonts w:ascii="微软雅黑" w:hAnsi="微软雅黑" w:eastAsia="微软雅黑" w:cs="微软雅黑"/>
                <w:sz w:val="24"/>
              </w:rPr>
              <w:t>○艺术</w:t>
            </w:r>
            <w:r>
              <w:rPr>
                <w:rFonts w:ascii="Times New Roman" w:hAnsi="Times New Roman" w:eastAsia="Times New Roman" w:cs="Times New Roman"/>
                <w:sz w:val="24"/>
              </w:rPr>
              <w:t xml:space="preserve">   </w:t>
            </w:r>
            <w:r>
              <w:rPr>
                <w:rFonts w:ascii="微软雅黑" w:hAnsi="微软雅黑" w:eastAsia="微软雅黑" w:cs="微软雅黑"/>
                <w:sz w:val="24"/>
              </w:rPr>
              <w:t>○民族</w:t>
            </w:r>
            <w:r>
              <w:rPr>
                <w:rFonts w:ascii="Times New Roman" w:hAnsi="Times New Roman" w:eastAsia="Times New Roman" w:cs="Times New Roman"/>
                <w:sz w:val="24"/>
              </w:rPr>
              <w:t xml:space="preserve"> </w:t>
            </w:r>
          </w:p>
        </w:tc>
      </w:tr>
      <w:tr>
        <w:tblPrEx>
          <w:tblLayout w:type="fixed"/>
          <w:tblCellMar>
            <w:top w:w="79" w:type="dxa"/>
            <w:left w:w="106" w:type="dxa"/>
            <w:bottom w:w="0" w:type="dxa"/>
            <w:right w:w="60" w:type="dxa"/>
          </w:tblCellMar>
        </w:tblPrEx>
        <w:trPr>
          <w:trHeight w:val="869" w:hRule="atLeast"/>
          <w:jc w:val="center"/>
        </w:trPr>
        <w:tc>
          <w:tcPr>
            <w:tcW w:w="1857" w:type="dxa"/>
            <w:tcBorders>
              <w:top w:val="single" w:color="000000" w:sz="4" w:space="0"/>
              <w:left w:val="single" w:color="000000" w:sz="4" w:space="0"/>
              <w:bottom w:val="single" w:color="000000" w:sz="4" w:space="0"/>
              <w:right w:val="single" w:color="000000" w:sz="4" w:space="0"/>
            </w:tcBorders>
          </w:tcPr>
          <w:p>
            <w:pPr>
              <w:spacing w:after="0" w:line="240" w:lineRule="auto"/>
              <w:ind w:left="103" w:right="89"/>
              <w:jc w:val="center"/>
            </w:pPr>
            <w:r>
              <w:rPr>
                <w:rFonts w:ascii="微软雅黑" w:hAnsi="微软雅黑" w:eastAsia="微软雅黑" w:cs="微软雅黑"/>
                <w:sz w:val="24"/>
              </w:rPr>
              <w:t>专任教师总数</w:t>
            </w:r>
            <w:r>
              <w:rPr>
                <w:rFonts w:ascii="Times New Roman" w:hAnsi="Times New Roman" w:eastAsia="Times New Roman" w:cs="Times New Roman"/>
                <w:sz w:val="24"/>
              </w:rPr>
              <w:t xml:space="preserve"> </w:t>
            </w:r>
          </w:p>
        </w:tc>
        <w:tc>
          <w:tcPr>
            <w:tcW w:w="2811"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3"/>
              <w:jc w:val="center"/>
              <w:rPr>
                <w:rFonts w:eastAsia="宋体"/>
              </w:rPr>
            </w:pPr>
            <w:r>
              <w:rPr>
                <w:rFonts w:hint="eastAsia" w:ascii="仿宋" w:hAnsi="仿宋" w:eastAsia="仿宋" w:cs="仿宋"/>
                <w:sz w:val="26"/>
                <w:szCs w:val="26"/>
              </w:rPr>
              <w:t xml:space="preserve"> 2516人</w:t>
            </w:r>
          </w:p>
        </w:tc>
        <w:tc>
          <w:tcPr>
            <w:tcW w:w="2795"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专任教师中副教授及以上职称教师数</w:t>
            </w:r>
            <w:r>
              <w:rPr>
                <w:rFonts w:ascii="Times New Roman" w:hAnsi="Times New Roman" w:eastAsia="Times New Roman" w:cs="Times New Roman"/>
                <w:sz w:val="24"/>
              </w:rPr>
              <w:t xml:space="preserve"> </w:t>
            </w:r>
          </w:p>
        </w:tc>
        <w:tc>
          <w:tcPr>
            <w:tcW w:w="2110" w:type="dxa"/>
            <w:tcBorders>
              <w:top w:val="single" w:color="000000" w:sz="4" w:space="0"/>
              <w:left w:val="single" w:color="000000" w:sz="4" w:space="0"/>
              <w:bottom w:val="single" w:color="000000" w:sz="4" w:space="0"/>
              <w:right w:val="single" w:color="000000" w:sz="4" w:space="0"/>
            </w:tcBorders>
          </w:tcPr>
          <w:p>
            <w:pPr>
              <w:spacing w:after="0" w:line="240" w:lineRule="auto"/>
              <w:ind w:left="2"/>
              <w:jc w:val="center"/>
              <w:rPr>
                <w:rFonts w:ascii="仿宋" w:hAnsi="仿宋" w:eastAsia="仿宋" w:cs="仿宋"/>
                <w:sz w:val="24"/>
              </w:rPr>
            </w:pPr>
          </w:p>
          <w:p>
            <w:pPr>
              <w:spacing w:after="0" w:line="240" w:lineRule="auto"/>
              <w:ind w:left="2"/>
              <w:jc w:val="center"/>
              <w:rPr>
                <w:rFonts w:ascii="仿宋" w:hAnsi="仿宋" w:eastAsia="仿宋" w:cs="仿宋"/>
              </w:rPr>
            </w:pPr>
            <w:r>
              <w:rPr>
                <w:rFonts w:hint="eastAsia" w:ascii="仿宋" w:hAnsi="仿宋" w:eastAsia="仿宋" w:cs="仿宋"/>
                <w:sz w:val="26"/>
                <w:szCs w:val="26"/>
              </w:rPr>
              <w:t>1416人</w:t>
            </w:r>
          </w:p>
        </w:tc>
      </w:tr>
      <w:tr>
        <w:tblPrEx>
          <w:tblLayout w:type="fixed"/>
          <w:tblCellMar>
            <w:top w:w="79" w:type="dxa"/>
            <w:left w:w="106" w:type="dxa"/>
            <w:bottom w:w="0" w:type="dxa"/>
            <w:right w:w="60" w:type="dxa"/>
          </w:tblCellMar>
        </w:tblPrEx>
        <w:trPr>
          <w:trHeight w:val="866"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03"/>
              <w:jc w:val="both"/>
            </w:pPr>
            <w:r>
              <w:rPr>
                <w:rFonts w:ascii="微软雅黑" w:hAnsi="微软雅黑" w:eastAsia="微软雅黑" w:cs="微软雅黑"/>
                <w:sz w:val="24"/>
              </w:rPr>
              <w:t>学校主管部门</w:t>
            </w:r>
            <w:r>
              <w:rPr>
                <w:rFonts w:ascii="Times New Roman" w:hAnsi="Times New Roman" w:eastAsia="Times New Roman" w:cs="Times New Roman"/>
                <w:sz w:val="24"/>
              </w:rPr>
              <w:t xml:space="preserve"> </w:t>
            </w:r>
          </w:p>
        </w:tc>
        <w:tc>
          <w:tcPr>
            <w:tcW w:w="2811"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3"/>
              <w:jc w:val="center"/>
            </w:pPr>
            <w:r>
              <w:rPr>
                <w:rFonts w:hint="eastAsia" w:ascii="仿宋" w:hAnsi="仿宋" w:eastAsia="仿宋" w:cs="仿宋"/>
                <w:sz w:val="26"/>
                <w:szCs w:val="26"/>
              </w:rPr>
              <w:t>江西省教育厅</w:t>
            </w:r>
            <w:r>
              <w:rPr>
                <w:rFonts w:hint="eastAsia" w:ascii="仿宋" w:hAnsi="仿宋" w:eastAsia="仿宋" w:cs="仿宋"/>
                <w:sz w:val="24"/>
              </w:rPr>
              <w:t xml:space="preserve"> </w:t>
            </w:r>
          </w:p>
        </w:tc>
        <w:tc>
          <w:tcPr>
            <w:tcW w:w="2795"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6"/>
              <w:jc w:val="center"/>
            </w:pPr>
            <w:r>
              <w:rPr>
                <w:rFonts w:ascii="微软雅黑" w:hAnsi="微软雅黑" w:eastAsia="微软雅黑" w:cs="微软雅黑"/>
                <w:sz w:val="24"/>
              </w:rPr>
              <w:t>建校时间</w:t>
            </w:r>
            <w:r>
              <w:rPr>
                <w:rFonts w:ascii="Times New Roman" w:hAnsi="Times New Roman" w:eastAsia="Times New Roman" w:cs="Times New Roman"/>
                <w:sz w:val="24"/>
              </w:rPr>
              <w:t xml:space="preserve"> </w:t>
            </w:r>
          </w:p>
        </w:tc>
        <w:tc>
          <w:tcPr>
            <w:tcW w:w="2110" w:type="dxa"/>
            <w:tcBorders>
              <w:top w:val="single" w:color="000000" w:sz="4" w:space="0"/>
              <w:left w:val="single" w:color="000000" w:sz="4" w:space="0"/>
              <w:bottom w:val="single" w:color="000000" w:sz="4" w:space="0"/>
              <w:right w:val="single" w:color="000000" w:sz="4" w:space="0"/>
            </w:tcBorders>
          </w:tcPr>
          <w:p>
            <w:pPr>
              <w:spacing w:after="0" w:line="240" w:lineRule="auto"/>
              <w:ind w:left="2"/>
              <w:rPr>
                <w:rFonts w:ascii="仿宋" w:hAnsi="仿宋" w:eastAsia="仿宋" w:cs="仿宋"/>
                <w:sz w:val="24"/>
              </w:rPr>
            </w:pPr>
            <w:r>
              <w:rPr>
                <w:rFonts w:hint="eastAsia" w:ascii="仿宋" w:hAnsi="仿宋" w:eastAsia="仿宋" w:cs="仿宋"/>
                <w:sz w:val="24"/>
              </w:rPr>
              <w:t xml:space="preserve"> </w:t>
            </w:r>
          </w:p>
          <w:p>
            <w:pPr>
              <w:spacing w:after="0" w:line="240" w:lineRule="auto"/>
              <w:ind w:left="2"/>
              <w:jc w:val="center"/>
              <w:rPr>
                <w:rFonts w:ascii="仿宋" w:hAnsi="仿宋" w:eastAsia="仿宋" w:cs="仿宋"/>
              </w:rPr>
            </w:pPr>
            <w:r>
              <w:rPr>
                <w:rFonts w:hint="eastAsia" w:ascii="仿宋" w:hAnsi="仿宋" w:eastAsia="仿宋" w:cs="仿宋"/>
                <w:sz w:val="26"/>
                <w:szCs w:val="26"/>
              </w:rPr>
              <w:t>1921年</w:t>
            </w:r>
          </w:p>
        </w:tc>
      </w:tr>
      <w:tr>
        <w:tblPrEx>
          <w:tblLayout w:type="fixed"/>
          <w:tblCellMar>
            <w:top w:w="79" w:type="dxa"/>
            <w:left w:w="106" w:type="dxa"/>
            <w:bottom w:w="0" w:type="dxa"/>
            <w:right w:w="60" w:type="dxa"/>
          </w:tblCellMar>
        </w:tblPrEx>
        <w:trPr>
          <w:trHeight w:val="685"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highlight w:val="cyan"/>
              </w:rPr>
            </w:pPr>
            <w:r>
              <w:rPr>
                <w:rFonts w:ascii="微软雅黑" w:hAnsi="微软雅黑" w:eastAsia="微软雅黑" w:cs="微软雅黑"/>
                <w:sz w:val="24"/>
              </w:rPr>
              <w:t>首次举办本科教育年份</w:t>
            </w:r>
            <w:r>
              <w:rPr>
                <w:rFonts w:ascii="Times New Roman" w:hAnsi="Times New Roman" w:eastAsia="Times New Roman" w:cs="Times New Roman"/>
                <w:sz w:val="24"/>
              </w:rPr>
              <w:t xml:space="preserve"> </w:t>
            </w:r>
          </w:p>
        </w:tc>
        <w:tc>
          <w:tcPr>
            <w:tcW w:w="7716" w:type="dxa"/>
            <w:gridSpan w:val="6"/>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
              <w:rPr>
                <w:rFonts w:eastAsia="宋体"/>
              </w:rPr>
            </w:pPr>
            <w:r>
              <w:rPr>
                <w:rFonts w:ascii="Times New Roman" w:hAnsi="Times New Roman" w:eastAsia="Times New Roman" w:cs="Times New Roman"/>
                <w:sz w:val="24"/>
              </w:rPr>
              <w:t xml:space="preserve"> </w:t>
            </w:r>
            <w:r>
              <w:rPr>
                <w:rFonts w:hint="eastAsia" w:ascii="仿宋" w:hAnsi="仿宋" w:eastAsia="仿宋" w:cs="仿宋"/>
                <w:sz w:val="26"/>
                <w:szCs w:val="26"/>
              </w:rPr>
              <w:t>1940年</w:t>
            </w:r>
          </w:p>
        </w:tc>
      </w:tr>
      <w:tr>
        <w:tblPrEx>
          <w:tblLayout w:type="fixed"/>
          <w:tblCellMar>
            <w:top w:w="79" w:type="dxa"/>
            <w:left w:w="106" w:type="dxa"/>
            <w:bottom w:w="0" w:type="dxa"/>
            <w:right w:w="60" w:type="dxa"/>
          </w:tblCellMar>
        </w:tblPrEx>
        <w:trPr>
          <w:trHeight w:val="1054"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6"/>
              <w:jc w:val="center"/>
            </w:pPr>
            <w:r>
              <w:rPr>
                <w:rFonts w:ascii="微软雅黑" w:hAnsi="微软雅黑" w:eastAsia="微软雅黑" w:cs="微软雅黑"/>
                <w:sz w:val="24"/>
              </w:rPr>
              <w:t>曾用名</w:t>
            </w:r>
            <w:r>
              <w:rPr>
                <w:rFonts w:ascii="Times New Roman" w:hAnsi="Times New Roman" w:eastAsia="Times New Roman" w:cs="Times New Roman"/>
                <w:sz w:val="24"/>
              </w:rPr>
              <w:t xml:space="preserve"> </w:t>
            </w:r>
          </w:p>
        </w:tc>
        <w:tc>
          <w:tcPr>
            <w:tcW w:w="7716" w:type="dxa"/>
            <w:gridSpan w:val="6"/>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
              <w:rPr>
                <w:rFonts w:ascii="仿宋" w:hAnsi="仿宋" w:eastAsia="仿宋" w:cs="仿宋"/>
                <w:sz w:val="26"/>
                <w:szCs w:val="26"/>
              </w:rPr>
            </w:pPr>
            <w:r>
              <w:rPr>
                <w:rFonts w:hint="eastAsia" w:ascii="仿宋" w:hAnsi="仿宋" w:eastAsia="仿宋" w:cs="仿宋"/>
                <w:sz w:val="26"/>
                <w:szCs w:val="26"/>
              </w:rPr>
              <w:t>1993年，江西大学与江西工业大学合并组建南昌大学；</w:t>
            </w:r>
          </w:p>
          <w:p>
            <w:pPr>
              <w:spacing w:after="0" w:line="240" w:lineRule="auto"/>
              <w:ind w:left="2"/>
            </w:pPr>
            <w:r>
              <w:rPr>
                <w:rFonts w:hint="eastAsia" w:ascii="仿宋" w:hAnsi="仿宋" w:eastAsia="仿宋" w:cs="仿宋"/>
                <w:sz w:val="26"/>
                <w:szCs w:val="26"/>
              </w:rPr>
              <w:t>2005年，南昌大学与江西医学院合并组建新南昌大学。</w:t>
            </w:r>
          </w:p>
        </w:tc>
      </w:tr>
      <w:tr>
        <w:tblPrEx>
          <w:tblLayout w:type="fixed"/>
          <w:tblCellMar>
            <w:top w:w="79" w:type="dxa"/>
            <w:left w:w="106" w:type="dxa"/>
            <w:bottom w:w="0" w:type="dxa"/>
            <w:right w:w="60" w:type="dxa"/>
          </w:tblCellMar>
        </w:tblPrEx>
        <w:trPr>
          <w:trHeight w:val="655"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微软雅黑" w:hAnsi="微软雅黑" w:eastAsia="微软雅黑" w:cs="微软雅黑"/>
                <w:sz w:val="24"/>
              </w:rPr>
            </w:pPr>
            <w:r>
              <w:rPr>
                <w:rFonts w:ascii="微软雅黑" w:hAnsi="微软雅黑" w:eastAsia="微软雅黑" w:cs="微软雅黑"/>
                <w:sz w:val="24"/>
              </w:rPr>
              <w:t>学校简介和</w:t>
            </w:r>
          </w:p>
          <w:p>
            <w:pPr>
              <w:spacing w:after="0" w:line="240" w:lineRule="auto"/>
              <w:jc w:val="center"/>
            </w:pPr>
            <w:r>
              <w:rPr>
                <w:rFonts w:ascii="微软雅黑" w:hAnsi="微软雅黑" w:eastAsia="微软雅黑" w:cs="微软雅黑"/>
                <w:sz w:val="24"/>
              </w:rPr>
              <w:t>历史沿革</w:t>
            </w:r>
          </w:p>
          <w:p>
            <w:pPr>
              <w:spacing w:after="0" w:line="240" w:lineRule="auto"/>
              <w:ind w:left="12"/>
              <w:jc w:val="both"/>
            </w:pPr>
            <w:r>
              <w:rPr>
                <w:rFonts w:ascii="微软雅黑" w:hAnsi="微软雅黑" w:eastAsia="微软雅黑" w:cs="微软雅黑"/>
                <w:sz w:val="24"/>
              </w:rPr>
              <w:t>（</w:t>
            </w:r>
            <w:r>
              <w:rPr>
                <w:rFonts w:ascii="Times New Roman" w:hAnsi="Times New Roman" w:eastAsia="Times New Roman" w:cs="Times New Roman"/>
                <w:sz w:val="24"/>
              </w:rPr>
              <w:t xml:space="preserve">300 </w:t>
            </w:r>
            <w:r>
              <w:rPr>
                <w:rFonts w:ascii="微软雅黑" w:hAnsi="微软雅黑" w:eastAsia="微软雅黑" w:cs="微软雅黑"/>
                <w:sz w:val="24"/>
              </w:rPr>
              <w:t>字以内）</w:t>
            </w:r>
            <w:r>
              <w:rPr>
                <w:rFonts w:ascii="Times New Roman" w:hAnsi="Times New Roman" w:eastAsia="Times New Roman" w:cs="Times New Roman"/>
                <w:sz w:val="24"/>
              </w:rPr>
              <w:t xml:space="preserve"> </w:t>
            </w:r>
          </w:p>
        </w:tc>
        <w:tc>
          <w:tcPr>
            <w:tcW w:w="7716" w:type="dxa"/>
            <w:gridSpan w:val="6"/>
            <w:tcBorders>
              <w:top w:val="single" w:color="000000" w:sz="4" w:space="0"/>
              <w:left w:val="single" w:color="000000" w:sz="4" w:space="0"/>
              <w:bottom w:val="single" w:color="000000" w:sz="4" w:space="0"/>
              <w:right w:val="single" w:color="000000" w:sz="4" w:space="0"/>
            </w:tcBorders>
          </w:tcPr>
          <w:p>
            <w:pPr>
              <w:spacing w:after="0" w:line="400" w:lineRule="exact"/>
              <w:ind w:firstLine="520" w:firstLineChars="200"/>
              <w:jc w:val="both"/>
              <w:rPr>
                <w:rFonts w:ascii="仿宋" w:hAnsi="仿宋" w:eastAsia="仿宋" w:cs="仿宋"/>
                <w:sz w:val="26"/>
                <w:szCs w:val="26"/>
              </w:rPr>
            </w:pPr>
            <w:r>
              <w:rPr>
                <w:rFonts w:hint="eastAsia" w:ascii="仿宋" w:hAnsi="仿宋" w:eastAsia="仿宋" w:cs="仿宋"/>
                <w:sz w:val="26"/>
                <w:szCs w:val="26"/>
              </w:rPr>
              <w:t>南昌大学是国家“双一流”计划世界一流学科建设高校，是江西省唯一的国家“211工程”重点建设高校，是教育部与江西省部省合建高校，是江西省高水平大学整体建设高校。</w:t>
            </w:r>
          </w:p>
          <w:p>
            <w:pPr>
              <w:spacing w:after="0" w:line="400" w:lineRule="exact"/>
              <w:ind w:firstLine="520" w:firstLineChars="200"/>
              <w:jc w:val="both"/>
              <w:rPr>
                <w:rFonts w:ascii="仿宋" w:hAnsi="仿宋" w:eastAsia="仿宋" w:cs="仿宋"/>
                <w:sz w:val="26"/>
                <w:szCs w:val="26"/>
              </w:rPr>
            </w:pPr>
            <w:r>
              <w:rPr>
                <w:rFonts w:hint="eastAsia" w:ascii="仿宋" w:hAnsi="仿宋" w:eastAsia="仿宋" w:cs="仿宋"/>
                <w:sz w:val="26"/>
                <w:szCs w:val="26"/>
              </w:rPr>
              <w:t>学校本部现有全日制本科学生35213人，各类研究生14980人，国（境）外学生1400余人。</w:t>
            </w:r>
          </w:p>
          <w:p>
            <w:pPr>
              <w:spacing w:after="0" w:line="400" w:lineRule="exact"/>
              <w:ind w:firstLine="520" w:firstLineChars="200"/>
              <w:jc w:val="both"/>
              <w:rPr>
                <w:rFonts w:ascii="仿宋" w:hAnsi="仿宋" w:eastAsia="仿宋" w:cs="仿宋"/>
                <w:sz w:val="26"/>
                <w:szCs w:val="26"/>
              </w:rPr>
            </w:pPr>
            <w:r>
              <w:rPr>
                <w:rFonts w:hint="eastAsia" w:ascii="仿宋" w:hAnsi="仿宋" w:eastAsia="仿宋" w:cs="仿宋"/>
                <w:sz w:val="26"/>
                <w:szCs w:val="26"/>
              </w:rPr>
              <w:t>学校具有文理工医布局合理、协调发展的学科专业体系。学校现开设12个学科门类的126个本科专业。学校本部现有教职工4392人（其中专任教师2516人，正副教授1416人）。</w:t>
            </w:r>
          </w:p>
          <w:p>
            <w:pPr>
              <w:spacing w:after="0" w:line="400" w:lineRule="exact"/>
              <w:ind w:firstLine="520" w:firstLineChars="200"/>
              <w:jc w:val="both"/>
            </w:pPr>
            <w:r>
              <w:rPr>
                <w:rFonts w:hint="eastAsia" w:ascii="仿宋" w:hAnsi="仿宋" w:eastAsia="仿宋" w:cs="仿宋"/>
                <w:sz w:val="26"/>
                <w:szCs w:val="26"/>
              </w:rPr>
              <w:t>学校坚持以立德树人为根本，创新引领、改革攻坚，奋力开启新时代高水平大学建设新征程，努力提升办学治校、服务国家地方新境界，开创“育人为本、创新驱动、实干兴校、拼争一流”新局面，书写创建高水平大学实现百年辉煌的奋进之笔。</w:t>
            </w:r>
          </w:p>
        </w:tc>
      </w:tr>
      <w:tr>
        <w:tblPrEx>
          <w:tblLayout w:type="fixed"/>
          <w:tblCellMar>
            <w:top w:w="79" w:type="dxa"/>
            <w:left w:w="106" w:type="dxa"/>
            <w:bottom w:w="0" w:type="dxa"/>
            <w:right w:w="60" w:type="dxa"/>
          </w:tblCellMar>
        </w:tblPrEx>
        <w:trPr>
          <w:trHeight w:val="100" w:hRule="atLeast"/>
          <w:jc w:val="center"/>
        </w:trPr>
        <w:tc>
          <w:tcPr>
            <w:tcW w:w="185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firstLine="14"/>
              <w:rPr>
                <w:rFonts w:ascii="微软雅黑" w:hAnsi="微软雅黑" w:eastAsia="微软雅黑" w:cs="微软雅黑"/>
                <w:sz w:val="24"/>
              </w:rPr>
            </w:pPr>
            <w:r>
              <w:rPr>
                <w:rFonts w:ascii="微软雅黑" w:hAnsi="微软雅黑" w:eastAsia="微软雅黑" w:cs="微软雅黑"/>
                <w:sz w:val="24"/>
              </w:rPr>
              <w:t>学校近五年专业增设、停招、撤并情况</w:t>
            </w:r>
          </w:p>
          <w:p>
            <w:pPr>
              <w:spacing w:after="0" w:line="240" w:lineRule="auto"/>
              <w:ind w:firstLine="14"/>
            </w:pPr>
            <w:r>
              <w:rPr>
                <w:rFonts w:ascii="微软雅黑" w:hAnsi="微软雅黑" w:eastAsia="微软雅黑" w:cs="微软雅黑"/>
                <w:sz w:val="24"/>
              </w:rPr>
              <w:t>（</w:t>
            </w:r>
            <w:r>
              <w:rPr>
                <w:rFonts w:ascii="Times New Roman" w:hAnsi="Times New Roman" w:eastAsia="Times New Roman" w:cs="Times New Roman"/>
                <w:sz w:val="24"/>
              </w:rPr>
              <w:t xml:space="preserve">300 </w:t>
            </w:r>
            <w:r>
              <w:rPr>
                <w:rFonts w:ascii="微软雅黑" w:hAnsi="微软雅黑" w:eastAsia="微软雅黑" w:cs="微软雅黑"/>
                <w:sz w:val="24"/>
              </w:rPr>
              <w:t>字以内）</w:t>
            </w:r>
          </w:p>
          <w:p>
            <w:pPr>
              <w:spacing w:after="0" w:line="240" w:lineRule="auto"/>
              <w:ind w:left="12"/>
              <w:jc w:val="both"/>
            </w:pPr>
          </w:p>
        </w:tc>
        <w:tc>
          <w:tcPr>
            <w:tcW w:w="7716" w:type="dxa"/>
            <w:gridSpan w:val="6"/>
            <w:tcBorders>
              <w:top w:val="single" w:color="000000" w:sz="4" w:space="0"/>
              <w:left w:val="single" w:color="000000" w:sz="4" w:space="0"/>
              <w:bottom w:val="single" w:color="000000" w:sz="4" w:space="0"/>
              <w:right w:val="single" w:color="000000" w:sz="4" w:space="0"/>
            </w:tcBorders>
          </w:tcPr>
          <w:p>
            <w:pPr>
              <w:spacing w:line="400" w:lineRule="exact"/>
              <w:ind w:firstLine="520" w:firstLineChars="200"/>
              <w:rPr>
                <w:rFonts w:ascii="Times New Roman" w:hAnsi="Times New Roman" w:eastAsia="仿宋" w:cs="Times New Roman"/>
                <w:sz w:val="26"/>
                <w:szCs w:val="26"/>
              </w:rPr>
            </w:pPr>
            <w:r>
              <w:rPr>
                <w:rFonts w:ascii="Times New Roman" w:hAnsi="Times New Roman" w:eastAsia="仿宋" w:cs="Times New Roman"/>
                <w:sz w:val="26"/>
                <w:szCs w:val="26"/>
              </w:rPr>
              <w:t>增设：2014年增设4个：020102经济统计学；080102工程力学；081303T资源循环科学与工程；101005康复治疗学。2015年3个：100703TK临床药学；120403劳动与社会保障；130305广播电视编导。2016年4个：082501环境科学与工程；100101K基础医学；100204TK眼视光医学；120205国际商务。2017年2个：020305T金融数学；080910T数据科学与大数据技术。2018年2个：100207TK儿科学；120903会展经济与管理</w:t>
            </w:r>
          </w:p>
          <w:p>
            <w:pPr>
              <w:spacing w:line="400" w:lineRule="exact"/>
              <w:ind w:firstLine="520" w:firstLineChars="200"/>
              <w:rPr>
                <w:rFonts w:ascii="Times New Roman" w:hAnsi="Times New Roman" w:eastAsia="仿宋" w:cs="Times New Roman"/>
                <w:sz w:val="26"/>
                <w:szCs w:val="26"/>
              </w:rPr>
            </w:pPr>
            <w:r>
              <w:rPr>
                <w:rFonts w:ascii="Times New Roman" w:hAnsi="Times New Roman" w:eastAsia="仿宋" w:cs="Times New Roman"/>
                <w:sz w:val="26"/>
                <w:szCs w:val="26"/>
              </w:rPr>
              <w:t>停招：2014年停招1个：101003医学影像技术。2016年停招8个：120401公共事业管理；120202市场营销；120204财务管理；130501艺术设计学120210文化产业管理；082601生物医学工程；080906数字媒体技术；082503环境科学。2017年停招3个：120601物流管理；020401国际经济与贸易；130304戏剧影视文学。2018年停招2个：101007卫生检验与检疫；020102经济统计学</w:t>
            </w:r>
          </w:p>
          <w:p>
            <w:pPr>
              <w:spacing w:after="0" w:line="400" w:lineRule="exact"/>
              <w:ind w:left="2" w:firstLine="520" w:firstLineChars="200"/>
            </w:pPr>
            <w:r>
              <w:rPr>
                <w:rFonts w:ascii="Times New Roman" w:hAnsi="Times New Roman" w:eastAsia="仿宋" w:cs="Times New Roman"/>
                <w:sz w:val="26"/>
                <w:szCs w:val="26"/>
              </w:rPr>
              <w:t>撤销：2018年撤销130204舞蹈表演</w:t>
            </w:r>
          </w:p>
        </w:tc>
      </w:tr>
    </w:tbl>
    <w:p>
      <w:r>
        <w:br w:type="page"/>
      </w:r>
    </w:p>
    <w:p>
      <w:pPr>
        <w:pStyle w:val="3"/>
        <w:ind w:right="26"/>
        <w:jc w:val="center"/>
      </w:pPr>
      <w:r>
        <w:t>2.申报专业基本情况</w:t>
      </w:r>
    </w:p>
    <w:tbl>
      <w:tblPr>
        <w:tblStyle w:val="16"/>
        <w:tblW w:w="9573" w:type="dxa"/>
        <w:jc w:val="center"/>
        <w:tblInd w:w="0" w:type="dxa"/>
        <w:tblLayout w:type="fixed"/>
        <w:tblCellMar>
          <w:top w:w="48" w:type="dxa"/>
          <w:left w:w="108" w:type="dxa"/>
          <w:bottom w:w="0" w:type="dxa"/>
          <w:right w:w="51" w:type="dxa"/>
        </w:tblCellMar>
      </w:tblPr>
      <w:tblGrid>
        <w:gridCol w:w="2393"/>
        <w:gridCol w:w="2391"/>
        <w:gridCol w:w="1987"/>
        <w:gridCol w:w="406"/>
        <w:gridCol w:w="2396"/>
      </w:tblGrid>
      <w:tr>
        <w:tblPrEx>
          <w:tblLayout w:type="fixed"/>
          <w:tblCellMar>
            <w:top w:w="48" w:type="dxa"/>
            <w:left w:w="108" w:type="dxa"/>
            <w:bottom w:w="0" w:type="dxa"/>
            <w:right w:w="51" w:type="dxa"/>
          </w:tblCellMar>
        </w:tblPrEx>
        <w:trPr>
          <w:trHeight w:val="869" w:hRule="atLeast"/>
          <w:jc w:val="center"/>
        </w:trPr>
        <w:tc>
          <w:tcPr>
            <w:tcW w:w="2393" w:type="dxa"/>
            <w:tcBorders>
              <w:top w:val="single" w:color="000000" w:sz="4" w:space="0"/>
              <w:left w:val="single" w:color="000000" w:sz="4" w:space="0"/>
              <w:bottom w:val="single" w:color="000000" w:sz="4" w:space="0"/>
              <w:right w:val="single" w:color="000000" w:sz="4" w:space="0"/>
            </w:tcBorders>
          </w:tcPr>
          <w:p>
            <w:pPr>
              <w:spacing w:after="0" w:line="240" w:lineRule="auto"/>
              <w:ind w:right="60"/>
              <w:jc w:val="center"/>
            </w:pPr>
            <w:r>
              <w:rPr>
                <w:rFonts w:ascii="微软雅黑" w:hAnsi="微软雅黑" w:eastAsia="微软雅黑" w:cs="微软雅黑"/>
                <w:sz w:val="24"/>
              </w:rPr>
              <w:t>专业代码</w:t>
            </w:r>
          </w:p>
        </w:tc>
        <w:tc>
          <w:tcPr>
            <w:tcW w:w="2391" w:type="dxa"/>
            <w:tcBorders>
              <w:top w:val="single" w:color="000000" w:sz="4" w:space="0"/>
              <w:left w:val="single" w:color="000000" w:sz="4" w:space="0"/>
              <w:bottom w:val="single" w:color="000000" w:sz="4" w:space="0"/>
              <w:right w:val="single" w:color="000000" w:sz="4" w:space="0"/>
            </w:tcBorders>
          </w:tcPr>
          <w:p>
            <w:pPr>
              <w:spacing w:after="0" w:line="240" w:lineRule="auto"/>
              <w:ind w:right="2"/>
              <w:jc w:val="center"/>
              <w:rPr>
                <w:rFonts w:ascii="仿宋" w:hAnsi="仿宋" w:eastAsia="仿宋" w:cs="仿宋"/>
                <w:sz w:val="26"/>
                <w:szCs w:val="26"/>
              </w:rPr>
            </w:pPr>
          </w:p>
          <w:p>
            <w:pPr>
              <w:spacing w:after="0" w:line="240" w:lineRule="auto"/>
              <w:ind w:right="2"/>
              <w:jc w:val="center"/>
              <w:rPr>
                <w:rFonts w:ascii="仿宋" w:hAnsi="仿宋" w:eastAsia="仿宋" w:cs="仿宋"/>
                <w:sz w:val="26"/>
                <w:szCs w:val="26"/>
              </w:rPr>
            </w:pPr>
            <w:r>
              <w:rPr>
                <w:rFonts w:hint="eastAsia" w:ascii="仿宋" w:hAnsi="仿宋" w:eastAsia="仿宋" w:cs="仿宋"/>
                <w:sz w:val="26"/>
                <w:szCs w:val="26"/>
              </w:rPr>
              <w:t xml:space="preserve"> 100201KH</w:t>
            </w:r>
          </w:p>
        </w:tc>
        <w:tc>
          <w:tcPr>
            <w:tcW w:w="2393" w:type="dxa"/>
            <w:gridSpan w:val="2"/>
            <w:tcBorders>
              <w:top w:val="single" w:color="000000" w:sz="4" w:space="0"/>
              <w:left w:val="single" w:color="000000" w:sz="4" w:space="0"/>
              <w:bottom w:val="single" w:color="000000" w:sz="4" w:space="0"/>
              <w:right w:val="single" w:color="000000" w:sz="4" w:space="0"/>
            </w:tcBorders>
          </w:tcPr>
          <w:p>
            <w:pPr>
              <w:spacing w:after="0" w:line="240" w:lineRule="auto"/>
              <w:jc w:val="center"/>
            </w:pPr>
            <w:r>
              <w:rPr>
                <w:rFonts w:ascii="微软雅黑" w:hAnsi="微软雅黑" w:eastAsia="微软雅黑" w:cs="微软雅黑"/>
                <w:sz w:val="24"/>
              </w:rPr>
              <w:t>专业名称</w:t>
            </w:r>
          </w:p>
        </w:tc>
        <w:tc>
          <w:tcPr>
            <w:tcW w:w="23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2"/>
              <w:jc w:val="center"/>
              <w:rPr>
                <w:rFonts w:ascii="仿宋" w:hAnsi="仿宋" w:eastAsia="仿宋" w:cs="仿宋"/>
                <w:sz w:val="26"/>
                <w:szCs w:val="26"/>
              </w:rPr>
            </w:pPr>
            <w:r>
              <w:rPr>
                <w:rFonts w:hint="eastAsia" w:ascii="仿宋" w:hAnsi="仿宋" w:eastAsia="仿宋" w:cs="仿宋"/>
                <w:sz w:val="26"/>
                <w:szCs w:val="26"/>
              </w:rPr>
              <w:t>临床医学</w:t>
            </w:r>
          </w:p>
        </w:tc>
      </w:tr>
      <w:tr>
        <w:tblPrEx>
          <w:tblLayout w:type="fixed"/>
          <w:tblCellMar>
            <w:top w:w="48" w:type="dxa"/>
            <w:left w:w="108" w:type="dxa"/>
            <w:bottom w:w="0" w:type="dxa"/>
            <w:right w:w="51" w:type="dxa"/>
          </w:tblCellMar>
        </w:tblPrEx>
        <w:trPr>
          <w:trHeight w:val="331" w:hRule="atLeast"/>
          <w:jc w:val="center"/>
        </w:trPr>
        <w:tc>
          <w:tcPr>
            <w:tcW w:w="2393" w:type="dxa"/>
            <w:tcBorders>
              <w:top w:val="single" w:color="000000" w:sz="4" w:space="0"/>
              <w:left w:val="single" w:color="000000" w:sz="4" w:space="0"/>
              <w:bottom w:val="single" w:color="000000" w:sz="4" w:space="0"/>
              <w:right w:val="single" w:color="000000" w:sz="4" w:space="0"/>
            </w:tcBorders>
          </w:tcPr>
          <w:p>
            <w:pPr>
              <w:spacing w:after="0" w:line="240" w:lineRule="auto"/>
              <w:ind w:right="60"/>
              <w:jc w:val="center"/>
            </w:pPr>
            <w:r>
              <w:rPr>
                <w:rFonts w:ascii="微软雅黑" w:hAnsi="微软雅黑" w:eastAsia="微软雅黑" w:cs="微软雅黑"/>
                <w:sz w:val="24"/>
              </w:rPr>
              <w:t>学位</w:t>
            </w:r>
            <w:r>
              <w:rPr>
                <w:rFonts w:ascii="Times New Roman" w:hAnsi="Times New Roman" w:eastAsia="Times New Roman" w:cs="Times New Roman"/>
                <w:sz w:val="24"/>
              </w:rPr>
              <w:t xml:space="preserve"> </w:t>
            </w:r>
          </w:p>
        </w:tc>
        <w:tc>
          <w:tcPr>
            <w:tcW w:w="2391" w:type="dxa"/>
            <w:tcBorders>
              <w:top w:val="single" w:color="000000" w:sz="4" w:space="0"/>
              <w:left w:val="single" w:color="000000" w:sz="4" w:space="0"/>
              <w:bottom w:val="single" w:color="000000" w:sz="4" w:space="0"/>
              <w:right w:val="single" w:color="000000" w:sz="4" w:space="0"/>
            </w:tcBorders>
          </w:tcPr>
          <w:p>
            <w:pPr>
              <w:spacing w:after="0" w:line="240" w:lineRule="auto"/>
              <w:ind w:right="2"/>
              <w:jc w:val="center"/>
              <w:rPr>
                <w:rFonts w:ascii="仿宋" w:hAnsi="仿宋" w:eastAsia="仿宋" w:cs="仿宋"/>
                <w:sz w:val="26"/>
                <w:szCs w:val="26"/>
              </w:rPr>
            </w:pPr>
            <w:r>
              <w:rPr>
                <w:rFonts w:hint="eastAsia" w:ascii="仿宋" w:hAnsi="仿宋" w:eastAsia="仿宋" w:cs="仿宋"/>
                <w:sz w:val="26"/>
                <w:szCs w:val="26"/>
              </w:rPr>
              <w:t xml:space="preserve">学士 </w:t>
            </w:r>
          </w:p>
        </w:tc>
        <w:tc>
          <w:tcPr>
            <w:tcW w:w="2393" w:type="dxa"/>
            <w:gridSpan w:val="2"/>
            <w:tcBorders>
              <w:top w:val="single" w:color="000000" w:sz="4" w:space="0"/>
              <w:left w:val="single" w:color="000000" w:sz="4" w:space="0"/>
              <w:bottom w:val="single" w:color="000000" w:sz="4" w:space="0"/>
              <w:right w:val="single" w:color="000000" w:sz="4" w:space="0"/>
            </w:tcBorders>
          </w:tcPr>
          <w:p>
            <w:pPr>
              <w:spacing w:after="0" w:line="240" w:lineRule="auto"/>
              <w:jc w:val="center"/>
            </w:pPr>
            <w:r>
              <w:rPr>
                <w:rFonts w:ascii="微软雅黑" w:hAnsi="微软雅黑" w:eastAsia="微软雅黑" w:cs="微软雅黑"/>
                <w:sz w:val="24"/>
              </w:rPr>
              <w:t>修业年限</w:t>
            </w:r>
          </w:p>
        </w:tc>
        <w:tc>
          <w:tcPr>
            <w:tcW w:w="2396" w:type="dxa"/>
            <w:tcBorders>
              <w:top w:val="single" w:color="000000" w:sz="4" w:space="0"/>
              <w:left w:val="single" w:color="000000" w:sz="4" w:space="0"/>
              <w:bottom w:val="single" w:color="000000" w:sz="4" w:space="0"/>
              <w:right w:val="single" w:color="000000" w:sz="4" w:space="0"/>
            </w:tcBorders>
          </w:tcPr>
          <w:p>
            <w:pPr>
              <w:spacing w:after="0" w:line="240" w:lineRule="auto"/>
              <w:ind w:right="2"/>
              <w:jc w:val="center"/>
              <w:rPr>
                <w:rFonts w:ascii="仿宋" w:hAnsi="仿宋" w:eastAsia="仿宋" w:cs="仿宋"/>
                <w:sz w:val="26"/>
                <w:szCs w:val="26"/>
              </w:rPr>
            </w:pPr>
            <w:r>
              <w:rPr>
                <w:rFonts w:hint="eastAsia" w:ascii="仿宋" w:hAnsi="仿宋" w:eastAsia="仿宋" w:cs="仿宋"/>
                <w:sz w:val="26"/>
                <w:szCs w:val="26"/>
              </w:rPr>
              <w:t xml:space="preserve">5年 </w:t>
            </w:r>
          </w:p>
        </w:tc>
      </w:tr>
      <w:tr>
        <w:tblPrEx>
          <w:tblLayout w:type="fixed"/>
          <w:tblCellMar>
            <w:top w:w="48" w:type="dxa"/>
            <w:left w:w="108" w:type="dxa"/>
            <w:bottom w:w="0" w:type="dxa"/>
            <w:right w:w="51" w:type="dxa"/>
          </w:tblCellMar>
        </w:tblPrEx>
        <w:trPr>
          <w:trHeight w:val="329" w:hRule="atLeast"/>
          <w:jc w:val="center"/>
        </w:trPr>
        <w:tc>
          <w:tcPr>
            <w:tcW w:w="2393" w:type="dxa"/>
            <w:tcBorders>
              <w:top w:val="single" w:color="000000" w:sz="4" w:space="0"/>
              <w:left w:val="single" w:color="000000" w:sz="4" w:space="0"/>
              <w:bottom w:val="single" w:color="000000" w:sz="4" w:space="0"/>
              <w:right w:val="single" w:color="000000" w:sz="4" w:space="0"/>
            </w:tcBorders>
          </w:tcPr>
          <w:p>
            <w:pPr>
              <w:spacing w:after="0" w:line="240" w:lineRule="auto"/>
              <w:ind w:right="60"/>
              <w:jc w:val="center"/>
            </w:pPr>
            <w:r>
              <w:rPr>
                <w:rFonts w:ascii="微软雅黑" w:hAnsi="微软雅黑" w:eastAsia="微软雅黑" w:cs="微软雅黑"/>
                <w:sz w:val="24"/>
              </w:rPr>
              <w:t>专业类</w:t>
            </w:r>
            <w:r>
              <w:rPr>
                <w:rFonts w:ascii="Times New Roman" w:hAnsi="Times New Roman" w:eastAsia="Times New Roman" w:cs="Times New Roman"/>
                <w:sz w:val="24"/>
              </w:rPr>
              <w:t xml:space="preserve"> </w:t>
            </w:r>
          </w:p>
        </w:tc>
        <w:tc>
          <w:tcPr>
            <w:tcW w:w="2391" w:type="dxa"/>
            <w:tcBorders>
              <w:top w:val="single" w:color="000000" w:sz="4" w:space="0"/>
              <w:left w:val="single" w:color="000000" w:sz="4" w:space="0"/>
              <w:bottom w:val="single" w:color="000000" w:sz="4" w:space="0"/>
              <w:right w:val="single" w:color="000000" w:sz="4" w:space="0"/>
            </w:tcBorders>
          </w:tcPr>
          <w:p>
            <w:pPr>
              <w:spacing w:after="0" w:line="240" w:lineRule="auto"/>
              <w:ind w:right="2"/>
              <w:jc w:val="center"/>
              <w:rPr>
                <w:rFonts w:ascii="仿宋" w:hAnsi="仿宋" w:eastAsia="仿宋" w:cs="仿宋"/>
                <w:sz w:val="26"/>
                <w:szCs w:val="26"/>
              </w:rPr>
            </w:pPr>
            <w:r>
              <w:rPr>
                <w:rFonts w:hint="eastAsia" w:ascii="仿宋" w:hAnsi="仿宋" w:eastAsia="仿宋" w:cs="仿宋"/>
                <w:sz w:val="26"/>
                <w:szCs w:val="26"/>
              </w:rPr>
              <w:t xml:space="preserve">临床医学 </w:t>
            </w:r>
          </w:p>
        </w:tc>
        <w:tc>
          <w:tcPr>
            <w:tcW w:w="2393" w:type="dxa"/>
            <w:gridSpan w:val="2"/>
            <w:tcBorders>
              <w:top w:val="single" w:color="000000" w:sz="4" w:space="0"/>
              <w:left w:val="single" w:color="000000" w:sz="4" w:space="0"/>
              <w:bottom w:val="single" w:color="000000" w:sz="4" w:space="0"/>
              <w:right w:val="single" w:color="000000" w:sz="4" w:space="0"/>
            </w:tcBorders>
          </w:tcPr>
          <w:p>
            <w:pPr>
              <w:spacing w:after="0" w:line="240" w:lineRule="auto"/>
              <w:jc w:val="center"/>
              <w:rPr>
                <w:highlight w:val="cyan"/>
              </w:rPr>
            </w:pPr>
            <w:r>
              <w:rPr>
                <w:rFonts w:ascii="微软雅黑" w:hAnsi="微软雅黑" w:eastAsia="微软雅黑" w:cs="微软雅黑"/>
                <w:sz w:val="24"/>
              </w:rPr>
              <w:t>专业类代码</w:t>
            </w:r>
          </w:p>
        </w:tc>
        <w:tc>
          <w:tcPr>
            <w:tcW w:w="2396" w:type="dxa"/>
            <w:tcBorders>
              <w:top w:val="single" w:color="000000" w:sz="4" w:space="0"/>
              <w:left w:val="single" w:color="000000" w:sz="4" w:space="0"/>
              <w:bottom w:val="single" w:color="000000" w:sz="4" w:space="0"/>
              <w:right w:val="single" w:color="000000" w:sz="4" w:space="0"/>
            </w:tcBorders>
          </w:tcPr>
          <w:p>
            <w:pPr>
              <w:spacing w:after="0" w:line="240" w:lineRule="auto"/>
              <w:ind w:right="2"/>
              <w:jc w:val="center"/>
              <w:rPr>
                <w:rFonts w:ascii="仿宋" w:hAnsi="仿宋" w:eastAsia="仿宋" w:cs="仿宋"/>
                <w:sz w:val="26"/>
                <w:szCs w:val="26"/>
              </w:rPr>
            </w:pPr>
            <w:r>
              <w:rPr>
                <w:rFonts w:hint="eastAsia" w:ascii="仿宋" w:hAnsi="仿宋" w:eastAsia="仿宋" w:cs="仿宋"/>
                <w:sz w:val="26"/>
                <w:szCs w:val="26"/>
              </w:rPr>
              <w:t>1002</w:t>
            </w:r>
          </w:p>
        </w:tc>
      </w:tr>
      <w:tr>
        <w:tblPrEx>
          <w:tblLayout w:type="fixed"/>
          <w:tblCellMar>
            <w:top w:w="48" w:type="dxa"/>
            <w:left w:w="108" w:type="dxa"/>
            <w:bottom w:w="0" w:type="dxa"/>
            <w:right w:w="51" w:type="dxa"/>
          </w:tblCellMar>
        </w:tblPrEx>
        <w:trPr>
          <w:trHeight w:val="331" w:hRule="atLeast"/>
          <w:jc w:val="center"/>
        </w:trPr>
        <w:tc>
          <w:tcPr>
            <w:tcW w:w="2393" w:type="dxa"/>
            <w:tcBorders>
              <w:top w:val="single" w:color="000000" w:sz="4" w:space="0"/>
              <w:left w:val="single" w:color="000000" w:sz="4" w:space="0"/>
              <w:bottom w:val="single" w:color="000000" w:sz="4" w:space="0"/>
              <w:right w:val="single" w:color="000000" w:sz="4" w:space="0"/>
            </w:tcBorders>
          </w:tcPr>
          <w:p>
            <w:pPr>
              <w:spacing w:after="0" w:line="240" w:lineRule="auto"/>
              <w:ind w:right="60"/>
              <w:jc w:val="center"/>
            </w:pPr>
            <w:r>
              <w:rPr>
                <w:rFonts w:ascii="微软雅黑" w:hAnsi="微软雅黑" w:eastAsia="微软雅黑" w:cs="微软雅黑"/>
                <w:sz w:val="24"/>
              </w:rPr>
              <w:t>门类</w:t>
            </w:r>
            <w:r>
              <w:rPr>
                <w:rFonts w:ascii="Times New Roman" w:hAnsi="Times New Roman" w:eastAsia="Times New Roman" w:cs="Times New Roman"/>
                <w:sz w:val="24"/>
              </w:rPr>
              <w:t xml:space="preserve"> </w:t>
            </w:r>
          </w:p>
        </w:tc>
        <w:tc>
          <w:tcPr>
            <w:tcW w:w="2391" w:type="dxa"/>
            <w:tcBorders>
              <w:top w:val="single" w:color="000000" w:sz="4" w:space="0"/>
              <w:left w:val="single" w:color="000000" w:sz="4" w:space="0"/>
              <w:bottom w:val="single" w:color="000000" w:sz="4" w:space="0"/>
              <w:right w:val="single" w:color="000000" w:sz="4" w:space="0"/>
            </w:tcBorders>
          </w:tcPr>
          <w:p>
            <w:pPr>
              <w:spacing w:after="0" w:line="240" w:lineRule="auto"/>
              <w:ind w:right="2"/>
              <w:jc w:val="center"/>
              <w:rPr>
                <w:rFonts w:ascii="仿宋" w:hAnsi="仿宋" w:eastAsia="仿宋" w:cs="仿宋"/>
                <w:sz w:val="26"/>
                <w:szCs w:val="26"/>
              </w:rPr>
            </w:pPr>
            <w:r>
              <w:rPr>
                <w:rFonts w:hint="eastAsia" w:ascii="仿宋" w:hAnsi="仿宋" w:eastAsia="仿宋" w:cs="仿宋"/>
                <w:sz w:val="26"/>
                <w:szCs w:val="26"/>
              </w:rPr>
              <w:t>医学类</w:t>
            </w:r>
          </w:p>
        </w:tc>
        <w:tc>
          <w:tcPr>
            <w:tcW w:w="2393" w:type="dxa"/>
            <w:gridSpan w:val="2"/>
            <w:tcBorders>
              <w:top w:val="single" w:color="000000" w:sz="4" w:space="0"/>
              <w:left w:val="single" w:color="000000" w:sz="4" w:space="0"/>
              <w:bottom w:val="single" w:color="000000" w:sz="4" w:space="0"/>
              <w:right w:val="single" w:color="000000" w:sz="4" w:space="0"/>
            </w:tcBorders>
          </w:tcPr>
          <w:p>
            <w:pPr>
              <w:spacing w:after="0" w:line="240" w:lineRule="auto"/>
              <w:jc w:val="center"/>
              <w:rPr>
                <w:highlight w:val="cyan"/>
              </w:rPr>
            </w:pPr>
            <w:r>
              <w:rPr>
                <w:rFonts w:ascii="微软雅黑" w:hAnsi="微软雅黑" w:eastAsia="微软雅黑" w:cs="微软雅黑"/>
                <w:sz w:val="24"/>
              </w:rPr>
              <w:t>门类代码</w:t>
            </w:r>
          </w:p>
        </w:tc>
        <w:tc>
          <w:tcPr>
            <w:tcW w:w="2396" w:type="dxa"/>
            <w:tcBorders>
              <w:top w:val="single" w:color="000000" w:sz="4" w:space="0"/>
              <w:left w:val="single" w:color="000000" w:sz="4" w:space="0"/>
              <w:bottom w:val="single" w:color="000000" w:sz="4" w:space="0"/>
              <w:right w:val="single" w:color="000000" w:sz="4" w:space="0"/>
            </w:tcBorders>
          </w:tcPr>
          <w:p>
            <w:pPr>
              <w:spacing w:after="0" w:line="240" w:lineRule="auto"/>
              <w:ind w:right="2"/>
              <w:jc w:val="center"/>
              <w:rPr>
                <w:rFonts w:ascii="仿宋" w:hAnsi="仿宋" w:eastAsia="仿宋" w:cs="仿宋"/>
                <w:sz w:val="26"/>
                <w:szCs w:val="26"/>
              </w:rPr>
            </w:pPr>
            <w:r>
              <w:rPr>
                <w:rFonts w:hint="eastAsia" w:ascii="仿宋" w:hAnsi="仿宋" w:eastAsia="仿宋" w:cs="仿宋"/>
                <w:sz w:val="26"/>
                <w:szCs w:val="26"/>
              </w:rPr>
              <w:t>10</w:t>
            </w:r>
          </w:p>
        </w:tc>
      </w:tr>
      <w:tr>
        <w:tblPrEx>
          <w:tblLayout w:type="fixed"/>
          <w:tblCellMar>
            <w:top w:w="48" w:type="dxa"/>
            <w:left w:w="108" w:type="dxa"/>
            <w:bottom w:w="0" w:type="dxa"/>
            <w:right w:w="51" w:type="dxa"/>
          </w:tblCellMar>
        </w:tblPrEx>
        <w:trPr>
          <w:trHeight w:val="329" w:hRule="atLeast"/>
          <w:jc w:val="center"/>
        </w:trPr>
        <w:tc>
          <w:tcPr>
            <w:tcW w:w="2393" w:type="dxa"/>
            <w:tcBorders>
              <w:top w:val="single" w:color="000000" w:sz="4" w:space="0"/>
              <w:left w:val="single" w:color="000000" w:sz="4" w:space="0"/>
              <w:bottom w:val="single" w:color="000000" w:sz="4" w:space="0"/>
              <w:right w:val="single" w:color="000000" w:sz="4" w:space="0"/>
            </w:tcBorders>
          </w:tcPr>
          <w:p>
            <w:pPr>
              <w:spacing w:after="0" w:line="240" w:lineRule="auto"/>
              <w:ind w:right="60"/>
              <w:jc w:val="center"/>
            </w:pPr>
            <w:r>
              <w:rPr>
                <w:rFonts w:ascii="微软雅黑" w:hAnsi="微软雅黑" w:eastAsia="微软雅黑" w:cs="微软雅黑"/>
                <w:sz w:val="24"/>
              </w:rPr>
              <w:t>所在院系名称</w:t>
            </w:r>
            <w:r>
              <w:rPr>
                <w:rFonts w:ascii="Times New Roman" w:hAnsi="Times New Roman" w:eastAsia="Times New Roman" w:cs="Times New Roman"/>
                <w:sz w:val="24"/>
              </w:rPr>
              <w:t xml:space="preserve"> </w:t>
            </w:r>
          </w:p>
        </w:tc>
        <w:tc>
          <w:tcPr>
            <w:tcW w:w="7180" w:type="dxa"/>
            <w:gridSpan w:val="4"/>
            <w:tcBorders>
              <w:top w:val="single" w:color="000000" w:sz="4" w:space="0"/>
              <w:left w:val="single" w:color="000000" w:sz="4" w:space="0"/>
              <w:bottom w:val="single" w:color="000000" w:sz="4" w:space="0"/>
              <w:right w:val="single" w:color="000000" w:sz="4" w:space="0"/>
            </w:tcBorders>
          </w:tcPr>
          <w:p>
            <w:pPr>
              <w:spacing w:after="0" w:line="240" w:lineRule="auto"/>
              <w:jc w:val="center"/>
            </w:pPr>
            <w:r>
              <w:rPr>
                <w:rFonts w:hint="eastAsia" w:ascii="仿宋" w:hAnsi="仿宋" w:eastAsia="仿宋" w:cs="仿宋"/>
                <w:sz w:val="26"/>
                <w:szCs w:val="26"/>
              </w:rPr>
              <w:t>南昌大学医学部</w:t>
            </w:r>
          </w:p>
        </w:tc>
      </w:tr>
      <w:tr>
        <w:tblPrEx>
          <w:tblLayout w:type="fixed"/>
          <w:tblCellMar>
            <w:top w:w="48" w:type="dxa"/>
            <w:left w:w="108" w:type="dxa"/>
            <w:bottom w:w="0" w:type="dxa"/>
            <w:right w:w="51" w:type="dxa"/>
          </w:tblCellMar>
        </w:tblPrEx>
        <w:trPr>
          <w:trHeight w:val="331" w:hRule="atLeast"/>
          <w:jc w:val="center"/>
        </w:trPr>
        <w:tc>
          <w:tcPr>
            <w:tcW w:w="9573" w:type="dxa"/>
            <w:gridSpan w:val="5"/>
            <w:tcBorders>
              <w:top w:val="single" w:color="000000" w:sz="4" w:space="0"/>
              <w:left w:val="single" w:color="000000" w:sz="4" w:space="0"/>
              <w:bottom w:val="single" w:color="000000" w:sz="4" w:space="0"/>
              <w:right w:val="single" w:color="000000" w:sz="4" w:space="0"/>
            </w:tcBorders>
          </w:tcPr>
          <w:p>
            <w:pPr>
              <w:spacing w:after="0" w:line="240" w:lineRule="auto"/>
            </w:pPr>
            <w:r>
              <w:rPr>
                <w:rFonts w:ascii="微软雅黑" w:hAnsi="微软雅黑" w:eastAsia="微软雅黑" w:cs="微软雅黑"/>
                <w:sz w:val="24"/>
              </w:rPr>
              <w:t>学校相近专业情况</w:t>
            </w:r>
            <w:r>
              <w:rPr>
                <w:rFonts w:ascii="Times New Roman" w:hAnsi="Times New Roman" w:eastAsia="Times New Roman" w:cs="Times New Roman"/>
                <w:sz w:val="24"/>
              </w:rPr>
              <w:t xml:space="preserve"> </w:t>
            </w:r>
          </w:p>
        </w:tc>
      </w:tr>
      <w:tr>
        <w:tblPrEx>
          <w:tblLayout w:type="fixed"/>
          <w:tblCellMar>
            <w:top w:w="48" w:type="dxa"/>
            <w:left w:w="108" w:type="dxa"/>
            <w:bottom w:w="0" w:type="dxa"/>
            <w:right w:w="51" w:type="dxa"/>
          </w:tblCellMar>
        </w:tblPrEx>
        <w:trPr>
          <w:trHeight w:val="648" w:hRule="atLeast"/>
          <w:jc w:val="center"/>
        </w:trPr>
        <w:tc>
          <w:tcPr>
            <w:tcW w:w="239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8"/>
              <w:jc w:val="center"/>
            </w:pPr>
            <w:r>
              <w:rPr>
                <w:rFonts w:ascii="微软雅黑" w:hAnsi="微软雅黑" w:eastAsia="微软雅黑" w:cs="微软雅黑"/>
                <w:sz w:val="24"/>
              </w:rPr>
              <w:t xml:space="preserve">相近专业 </w:t>
            </w:r>
            <w:r>
              <w:rPr>
                <w:rFonts w:ascii="Times New Roman" w:hAnsi="Times New Roman" w:eastAsia="Times New Roman" w:cs="Times New Roman"/>
                <w:sz w:val="24"/>
              </w:rPr>
              <w:t xml:space="preserve">1 </w:t>
            </w:r>
          </w:p>
        </w:tc>
        <w:tc>
          <w:tcPr>
            <w:tcW w:w="239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25"/>
              <w:jc w:val="center"/>
              <w:rPr>
                <w:rFonts w:ascii="仿宋" w:hAnsi="仿宋" w:eastAsia="仿宋" w:cs="仿宋"/>
                <w:sz w:val="28"/>
                <w:szCs w:val="28"/>
              </w:rPr>
            </w:pPr>
            <w:r>
              <w:rPr>
                <w:rFonts w:hint="eastAsia" w:ascii="仿宋" w:hAnsi="仿宋" w:eastAsia="仿宋" w:cs="仿宋"/>
                <w:sz w:val="28"/>
                <w:szCs w:val="28"/>
              </w:rPr>
              <w:t>临床医学（生物医学科学）</w:t>
            </w:r>
          </w:p>
        </w:tc>
        <w:tc>
          <w:tcPr>
            <w:tcW w:w="198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25"/>
              <w:jc w:val="center"/>
              <w:rPr>
                <w:rFonts w:ascii="仿宋" w:hAnsi="仿宋" w:eastAsia="仿宋" w:cs="仿宋"/>
                <w:sz w:val="28"/>
                <w:szCs w:val="28"/>
              </w:rPr>
            </w:pPr>
            <w:r>
              <w:rPr>
                <w:rFonts w:hint="eastAsia" w:ascii="仿宋" w:hAnsi="仿宋" w:eastAsia="仿宋" w:cs="仿宋"/>
                <w:sz w:val="28"/>
                <w:szCs w:val="28"/>
              </w:rPr>
              <w:t>（</w:t>
            </w:r>
            <w:r>
              <w:rPr>
                <w:rFonts w:ascii="Times New Roman" w:hAnsi="Times New Roman" w:eastAsia="仿宋" w:cs="Times New Roman"/>
                <w:sz w:val="28"/>
                <w:szCs w:val="28"/>
              </w:rPr>
              <w:t>20</w:t>
            </w:r>
            <w:r>
              <w:rPr>
                <w:rFonts w:hint="eastAsia" w:ascii="Times New Roman" w:hAnsi="Times New Roman" w:eastAsia="仿宋" w:cs="Times New Roman"/>
                <w:sz w:val="28"/>
                <w:szCs w:val="28"/>
              </w:rPr>
              <w:t>12</w:t>
            </w:r>
            <w:r>
              <w:rPr>
                <w:rFonts w:hint="eastAsia" w:ascii="仿宋" w:hAnsi="仿宋" w:eastAsia="仿宋" w:cs="仿宋"/>
                <w:sz w:val="28"/>
                <w:szCs w:val="28"/>
              </w:rPr>
              <w:t>年）</w:t>
            </w:r>
          </w:p>
        </w:tc>
        <w:tc>
          <w:tcPr>
            <w:tcW w:w="2802" w:type="dxa"/>
            <w:gridSpan w:val="2"/>
            <w:tcBorders>
              <w:top w:val="single" w:color="000000" w:sz="4" w:space="0"/>
              <w:left w:val="single" w:color="000000" w:sz="4" w:space="0"/>
              <w:bottom w:val="single" w:color="000000" w:sz="4" w:space="0"/>
              <w:right w:val="single" w:color="000000" w:sz="4" w:space="0"/>
            </w:tcBorders>
          </w:tcPr>
          <w:p>
            <w:pPr>
              <w:spacing w:after="28" w:line="240" w:lineRule="auto"/>
              <w:ind w:left="211"/>
            </w:pPr>
            <w:r>
              <w:rPr>
                <w:rFonts w:ascii="微软雅黑" w:hAnsi="微软雅黑" w:eastAsia="微软雅黑" w:cs="微软雅黑"/>
                <w:sz w:val="24"/>
              </w:rPr>
              <w:t>该专业教师队伍情况</w:t>
            </w:r>
            <w:r>
              <w:rPr>
                <w:rFonts w:ascii="Times New Roman" w:hAnsi="Times New Roman" w:eastAsia="Times New Roman" w:cs="Times New Roman"/>
                <w:sz w:val="24"/>
              </w:rPr>
              <w:t xml:space="preserve"> </w:t>
            </w:r>
          </w:p>
          <w:p>
            <w:pPr>
              <w:spacing w:after="0" w:line="240" w:lineRule="auto"/>
              <w:jc w:val="both"/>
            </w:pPr>
            <w:r>
              <w:rPr>
                <w:rFonts w:ascii="微软雅黑" w:hAnsi="微软雅黑" w:eastAsia="微软雅黑" w:cs="微软雅黑"/>
                <w:sz w:val="24"/>
              </w:rPr>
              <w:t>（上传教师基本情况表）</w:t>
            </w:r>
            <w:r>
              <w:rPr>
                <w:rFonts w:hint="eastAsia" w:ascii="华文仿宋" w:hAnsi="华文仿宋" w:eastAsia="华文仿宋" w:cs="华文仿宋"/>
                <w:sz w:val="28"/>
                <w:szCs w:val="24"/>
              </w:rPr>
              <w:t xml:space="preserve">见附件4.1 </w:t>
            </w:r>
            <w:r>
              <w:rPr>
                <w:rFonts w:ascii="Times New Roman" w:hAnsi="Times New Roman" w:eastAsia="Times New Roman" w:cs="Times New Roman"/>
                <w:sz w:val="24"/>
              </w:rPr>
              <w:t xml:space="preserve"> </w:t>
            </w:r>
          </w:p>
        </w:tc>
      </w:tr>
      <w:tr>
        <w:tblPrEx>
          <w:tblLayout w:type="fixed"/>
          <w:tblCellMar>
            <w:top w:w="48" w:type="dxa"/>
            <w:left w:w="108" w:type="dxa"/>
            <w:bottom w:w="0" w:type="dxa"/>
            <w:right w:w="51" w:type="dxa"/>
          </w:tblCellMar>
        </w:tblPrEx>
        <w:trPr>
          <w:trHeight w:val="651" w:hRule="atLeast"/>
          <w:jc w:val="center"/>
        </w:trPr>
        <w:tc>
          <w:tcPr>
            <w:tcW w:w="239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8"/>
              <w:jc w:val="center"/>
            </w:pPr>
            <w:r>
              <w:rPr>
                <w:rFonts w:ascii="微软雅黑" w:hAnsi="微软雅黑" w:eastAsia="微软雅黑" w:cs="微软雅黑"/>
                <w:sz w:val="24"/>
              </w:rPr>
              <w:t xml:space="preserve">相近专业 </w:t>
            </w:r>
            <w:r>
              <w:rPr>
                <w:rFonts w:ascii="Times New Roman" w:hAnsi="Times New Roman" w:eastAsia="Times New Roman" w:cs="Times New Roman"/>
                <w:sz w:val="24"/>
              </w:rPr>
              <w:t xml:space="preserve">2 </w:t>
            </w:r>
          </w:p>
        </w:tc>
        <w:tc>
          <w:tcPr>
            <w:tcW w:w="239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25"/>
              <w:jc w:val="center"/>
              <w:rPr>
                <w:rFonts w:ascii="仿宋" w:hAnsi="仿宋" w:eastAsia="仿宋" w:cs="仿宋"/>
                <w:sz w:val="28"/>
                <w:szCs w:val="28"/>
              </w:rPr>
            </w:pPr>
            <w:r>
              <w:rPr>
                <w:rFonts w:hint="eastAsia" w:ascii="仿宋" w:hAnsi="仿宋" w:eastAsia="仿宋" w:cs="仿宋"/>
                <w:sz w:val="28"/>
                <w:szCs w:val="28"/>
              </w:rPr>
              <w:t>麻醉学</w:t>
            </w:r>
          </w:p>
        </w:tc>
        <w:tc>
          <w:tcPr>
            <w:tcW w:w="198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25"/>
              <w:jc w:val="center"/>
              <w:rPr>
                <w:rFonts w:ascii="仿宋" w:hAnsi="仿宋" w:eastAsia="仿宋" w:cs="仿宋"/>
                <w:sz w:val="28"/>
                <w:szCs w:val="28"/>
              </w:rPr>
            </w:pPr>
            <w:r>
              <w:rPr>
                <w:rFonts w:hint="eastAsia" w:ascii="仿宋" w:hAnsi="仿宋" w:eastAsia="仿宋" w:cs="仿宋"/>
                <w:sz w:val="28"/>
                <w:szCs w:val="28"/>
              </w:rPr>
              <w:t>（</w:t>
            </w:r>
            <w:r>
              <w:rPr>
                <w:rFonts w:hint="eastAsia" w:ascii="Times New Roman" w:hAnsi="Times New Roman" w:eastAsia="仿宋" w:cs="Times New Roman"/>
                <w:sz w:val="28"/>
                <w:szCs w:val="28"/>
              </w:rPr>
              <w:t>2002</w:t>
            </w:r>
            <w:r>
              <w:rPr>
                <w:rFonts w:hint="eastAsia" w:ascii="仿宋" w:hAnsi="仿宋" w:eastAsia="仿宋" w:cs="仿宋"/>
                <w:sz w:val="28"/>
                <w:szCs w:val="28"/>
              </w:rPr>
              <w:t>年）</w:t>
            </w:r>
          </w:p>
        </w:tc>
        <w:tc>
          <w:tcPr>
            <w:tcW w:w="2802" w:type="dxa"/>
            <w:gridSpan w:val="2"/>
            <w:tcBorders>
              <w:top w:val="single" w:color="000000" w:sz="4" w:space="0"/>
              <w:left w:val="single" w:color="000000" w:sz="4" w:space="0"/>
              <w:bottom w:val="single" w:color="000000" w:sz="4" w:space="0"/>
              <w:right w:val="single" w:color="000000" w:sz="4" w:space="0"/>
            </w:tcBorders>
          </w:tcPr>
          <w:p>
            <w:pPr>
              <w:spacing w:after="28" w:line="240" w:lineRule="auto"/>
              <w:ind w:left="211"/>
            </w:pPr>
            <w:r>
              <w:rPr>
                <w:rFonts w:ascii="微软雅黑" w:hAnsi="微软雅黑" w:eastAsia="微软雅黑" w:cs="微软雅黑"/>
                <w:sz w:val="24"/>
              </w:rPr>
              <w:t>该专业教师队伍情况</w:t>
            </w:r>
            <w:r>
              <w:rPr>
                <w:rFonts w:ascii="Times New Roman" w:hAnsi="Times New Roman" w:eastAsia="Times New Roman" w:cs="Times New Roman"/>
                <w:sz w:val="24"/>
              </w:rPr>
              <w:t xml:space="preserve"> </w:t>
            </w:r>
          </w:p>
          <w:p>
            <w:pPr>
              <w:spacing w:after="0" w:line="240" w:lineRule="auto"/>
              <w:jc w:val="both"/>
            </w:pPr>
            <w:r>
              <w:rPr>
                <w:rFonts w:ascii="微软雅黑" w:hAnsi="微软雅黑" w:eastAsia="微软雅黑" w:cs="微软雅黑"/>
                <w:sz w:val="24"/>
              </w:rPr>
              <w:t>（上传教师基本情况表）</w:t>
            </w:r>
            <w:r>
              <w:rPr>
                <w:rFonts w:hint="eastAsia" w:ascii="华文仿宋" w:hAnsi="华文仿宋" w:eastAsia="华文仿宋" w:cs="华文仿宋"/>
                <w:sz w:val="28"/>
                <w:szCs w:val="24"/>
              </w:rPr>
              <w:t xml:space="preserve">见附件4.2 </w:t>
            </w:r>
            <w:r>
              <w:rPr>
                <w:rFonts w:ascii="Times New Roman" w:hAnsi="Times New Roman" w:eastAsia="Times New Roman" w:cs="Times New Roman"/>
                <w:sz w:val="24"/>
              </w:rPr>
              <w:t xml:space="preserve"> </w:t>
            </w:r>
          </w:p>
        </w:tc>
      </w:tr>
      <w:tr>
        <w:tblPrEx>
          <w:tblLayout w:type="fixed"/>
          <w:tblCellMar>
            <w:top w:w="48" w:type="dxa"/>
            <w:left w:w="108" w:type="dxa"/>
            <w:bottom w:w="0" w:type="dxa"/>
            <w:right w:w="51" w:type="dxa"/>
          </w:tblCellMar>
        </w:tblPrEx>
        <w:trPr>
          <w:trHeight w:val="650" w:hRule="atLeast"/>
          <w:jc w:val="center"/>
        </w:trPr>
        <w:tc>
          <w:tcPr>
            <w:tcW w:w="239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8"/>
              <w:jc w:val="center"/>
            </w:pPr>
            <w:r>
              <w:rPr>
                <w:rFonts w:ascii="微软雅黑" w:hAnsi="微软雅黑" w:eastAsia="微软雅黑" w:cs="微软雅黑"/>
                <w:sz w:val="24"/>
              </w:rPr>
              <w:t xml:space="preserve">相近专业 </w:t>
            </w:r>
            <w:r>
              <w:rPr>
                <w:rFonts w:ascii="Times New Roman" w:hAnsi="Times New Roman" w:eastAsia="Times New Roman" w:cs="Times New Roman"/>
                <w:sz w:val="24"/>
              </w:rPr>
              <w:t xml:space="preserve">3 </w:t>
            </w:r>
          </w:p>
        </w:tc>
        <w:tc>
          <w:tcPr>
            <w:tcW w:w="239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25"/>
            </w:pPr>
            <w:r>
              <w:rPr>
                <w:rFonts w:ascii="微软雅黑" w:hAnsi="微软雅黑" w:eastAsia="微软雅黑" w:cs="微软雅黑"/>
                <w:sz w:val="24"/>
              </w:rPr>
              <w:t>（填写专业名称）</w:t>
            </w:r>
            <w:r>
              <w:rPr>
                <w:rFonts w:ascii="Times New Roman" w:hAnsi="Times New Roman" w:eastAsia="Times New Roman" w:cs="Times New Roman"/>
                <w:sz w:val="24"/>
              </w:rPr>
              <w:t xml:space="preserve"> </w:t>
            </w:r>
          </w:p>
        </w:tc>
        <w:tc>
          <w:tcPr>
            <w:tcW w:w="198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66"/>
            </w:pPr>
            <w:r>
              <w:rPr>
                <w:rFonts w:ascii="微软雅黑" w:hAnsi="微软雅黑" w:eastAsia="微软雅黑" w:cs="微软雅黑"/>
                <w:sz w:val="24"/>
              </w:rPr>
              <w:t>（开设年份）</w:t>
            </w:r>
            <w:r>
              <w:rPr>
                <w:rFonts w:ascii="Times New Roman" w:hAnsi="Times New Roman" w:eastAsia="Times New Roman" w:cs="Times New Roman"/>
                <w:sz w:val="24"/>
              </w:rPr>
              <w:t xml:space="preserve"> </w:t>
            </w:r>
          </w:p>
        </w:tc>
        <w:tc>
          <w:tcPr>
            <w:tcW w:w="2802" w:type="dxa"/>
            <w:gridSpan w:val="2"/>
            <w:tcBorders>
              <w:top w:val="single" w:color="000000" w:sz="4" w:space="0"/>
              <w:left w:val="single" w:color="000000" w:sz="4" w:space="0"/>
              <w:bottom w:val="single" w:color="000000" w:sz="4" w:space="0"/>
              <w:right w:val="single" w:color="000000" w:sz="4" w:space="0"/>
            </w:tcBorders>
          </w:tcPr>
          <w:p>
            <w:pPr>
              <w:spacing w:after="30" w:line="240" w:lineRule="auto"/>
              <w:ind w:left="211"/>
            </w:pPr>
            <w:r>
              <w:rPr>
                <w:rFonts w:ascii="微软雅黑" w:hAnsi="微软雅黑" w:eastAsia="微软雅黑" w:cs="微软雅黑"/>
                <w:sz w:val="24"/>
              </w:rPr>
              <w:t>该专业教师队伍情况</w:t>
            </w:r>
            <w:r>
              <w:rPr>
                <w:rFonts w:ascii="Times New Roman" w:hAnsi="Times New Roman" w:eastAsia="Times New Roman" w:cs="Times New Roman"/>
                <w:sz w:val="24"/>
              </w:rPr>
              <w:t xml:space="preserve"> </w:t>
            </w:r>
          </w:p>
          <w:p>
            <w:pPr>
              <w:spacing w:after="0" w:line="240" w:lineRule="auto"/>
              <w:jc w:val="both"/>
            </w:pPr>
            <w:r>
              <w:rPr>
                <w:rFonts w:ascii="微软雅黑" w:hAnsi="微软雅黑" w:eastAsia="微软雅黑" w:cs="微软雅黑"/>
                <w:sz w:val="24"/>
              </w:rPr>
              <w:t>（上传教师基本情况表）</w:t>
            </w:r>
            <w:r>
              <w:rPr>
                <w:rFonts w:ascii="Times New Roman" w:hAnsi="Times New Roman" w:eastAsia="Times New Roman" w:cs="Times New Roman"/>
                <w:sz w:val="24"/>
              </w:rPr>
              <w:t xml:space="preserve"> </w:t>
            </w:r>
          </w:p>
        </w:tc>
      </w:tr>
      <w:tr>
        <w:tblPrEx>
          <w:tblLayout w:type="fixed"/>
          <w:tblCellMar>
            <w:top w:w="48" w:type="dxa"/>
            <w:left w:w="108" w:type="dxa"/>
            <w:bottom w:w="0" w:type="dxa"/>
            <w:right w:w="51" w:type="dxa"/>
          </w:tblCellMar>
        </w:tblPrEx>
        <w:trPr>
          <w:trHeight w:val="3744" w:hRule="atLeast"/>
          <w:jc w:val="center"/>
        </w:trPr>
        <w:tc>
          <w:tcPr>
            <w:tcW w:w="2393" w:type="dxa"/>
            <w:tcBorders>
              <w:top w:val="single" w:color="000000" w:sz="4" w:space="0"/>
              <w:left w:val="single" w:color="000000" w:sz="4" w:space="0"/>
              <w:bottom w:val="single" w:color="000000" w:sz="4" w:space="0"/>
              <w:right w:val="single" w:color="000000" w:sz="4" w:space="0"/>
            </w:tcBorders>
          </w:tcPr>
          <w:p>
            <w:pPr>
              <w:spacing w:after="30" w:line="240" w:lineRule="auto"/>
              <w:ind w:left="247"/>
            </w:pPr>
            <w:r>
              <w:rPr>
                <w:rFonts w:ascii="微软雅黑" w:hAnsi="微软雅黑" w:eastAsia="微软雅黑" w:cs="微软雅黑"/>
                <w:sz w:val="24"/>
              </w:rPr>
              <w:t>增设专业区分度</w:t>
            </w:r>
            <w:r>
              <w:rPr>
                <w:rFonts w:ascii="Times New Roman" w:hAnsi="Times New Roman" w:eastAsia="Times New Roman" w:cs="Times New Roman"/>
                <w:sz w:val="24"/>
              </w:rPr>
              <w:t xml:space="preserve"> </w:t>
            </w:r>
          </w:p>
          <w:p>
            <w:pPr>
              <w:spacing w:after="0" w:line="240" w:lineRule="auto"/>
              <w:ind w:left="7"/>
              <w:jc w:val="both"/>
            </w:pPr>
            <w:r>
              <w:rPr>
                <w:rFonts w:ascii="微软雅黑" w:hAnsi="微软雅黑" w:eastAsia="微软雅黑" w:cs="微软雅黑"/>
                <w:sz w:val="24"/>
              </w:rPr>
              <w:t>（目录外专业填写）</w:t>
            </w:r>
            <w:r>
              <w:rPr>
                <w:rFonts w:ascii="Times New Roman" w:hAnsi="Times New Roman" w:eastAsia="Times New Roman" w:cs="Times New Roman"/>
                <w:sz w:val="24"/>
              </w:rPr>
              <w:t xml:space="preserve"> </w:t>
            </w:r>
          </w:p>
        </w:tc>
        <w:tc>
          <w:tcPr>
            <w:tcW w:w="7180" w:type="dxa"/>
            <w:gridSpan w:val="4"/>
            <w:tcBorders>
              <w:top w:val="single" w:color="000000" w:sz="4" w:space="0"/>
              <w:left w:val="single" w:color="000000" w:sz="4" w:space="0"/>
              <w:bottom w:val="single" w:color="000000" w:sz="4" w:space="0"/>
              <w:right w:val="single" w:color="000000" w:sz="4" w:space="0"/>
            </w:tcBorders>
          </w:tcPr>
          <w:p>
            <w:pPr>
              <w:spacing w:after="0" w:line="240" w:lineRule="auto"/>
            </w:pPr>
            <w:r>
              <w:rPr>
                <w:rFonts w:ascii="Times New Roman" w:hAnsi="Times New Roman" w:eastAsia="Times New Roman" w:cs="Times New Roman"/>
                <w:sz w:val="24"/>
              </w:rPr>
              <w:t xml:space="preserve"> </w:t>
            </w:r>
          </w:p>
        </w:tc>
      </w:tr>
      <w:tr>
        <w:tblPrEx>
          <w:tblLayout w:type="fixed"/>
          <w:tblCellMar>
            <w:top w:w="48" w:type="dxa"/>
            <w:left w:w="108" w:type="dxa"/>
            <w:bottom w:w="0" w:type="dxa"/>
            <w:right w:w="51" w:type="dxa"/>
          </w:tblCellMar>
        </w:tblPrEx>
        <w:trPr>
          <w:trHeight w:val="3991" w:hRule="atLeast"/>
          <w:jc w:val="center"/>
        </w:trPr>
        <w:tc>
          <w:tcPr>
            <w:tcW w:w="2393" w:type="dxa"/>
            <w:tcBorders>
              <w:top w:val="single" w:color="000000" w:sz="4" w:space="0"/>
              <w:left w:val="single" w:color="000000" w:sz="4" w:space="0"/>
              <w:bottom w:val="single" w:color="000000" w:sz="4" w:space="0"/>
              <w:right w:val="single" w:color="000000" w:sz="4" w:space="0"/>
            </w:tcBorders>
          </w:tcPr>
          <w:p>
            <w:pPr>
              <w:spacing w:after="0" w:line="240" w:lineRule="auto"/>
              <w:jc w:val="center"/>
            </w:pPr>
            <w:r>
              <w:rPr>
                <w:rFonts w:ascii="微软雅黑" w:hAnsi="微软雅黑" w:eastAsia="微软雅黑" w:cs="微软雅黑"/>
                <w:sz w:val="24"/>
              </w:rPr>
              <w:t>增设专业的基础要求（目录外专业填写）</w:t>
            </w:r>
            <w:r>
              <w:rPr>
                <w:rFonts w:ascii="Times New Roman" w:hAnsi="Times New Roman" w:eastAsia="Times New Roman" w:cs="Times New Roman"/>
                <w:sz w:val="24"/>
              </w:rPr>
              <w:t xml:space="preserve"> </w:t>
            </w:r>
          </w:p>
        </w:tc>
        <w:tc>
          <w:tcPr>
            <w:tcW w:w="7180" w:type="dxa"/>
            <w:gridSpan w:val="4"/>
            <w:tcBorders>
              <w:top w:val="single" w:color="000000" w:sz="4" w:space="0"/>
              <w:left w:val="single" w:color="000000" w:sz="4" w:space="0"/>
              <w:bottom w:val="single" w:color="000000" w:sz="4" w:space="0"/>
              <w:right w:val="single" w:color="000000" w:sz="4" w:space="0"/>
            </w:tcBorders>
          </w:tcPr>
          <w:p>
            <w:pPr>
              <w:spacing w:line="360" w:lineRule="auto"/>
              <w:rPr>
                <w:rFonts w:eastAsia="FangSong_GB2312"/>
                <w:szCs w:val="21"/>
              </w:rPr>
            </w:pPr>
            <w:r>
              <w:rPr>
                <w:rFonts w:eastAsia="FangSong_GB2312"/>
                <w:szCs w:val="21"/>
              </w:rPr>
              <w:t>（应包括申请增设专业的主要理由、学校专业发展规划及人才需求预测情况等方面的内容）（如需要可加页）</w:t>
            </w:r>
          </w:p>
          <w:p>
            <w:pPr>
              <w:spacing w:after="0" w:line="240" w:lineRule="auto"/>
            </w:pPr>
          </w:p>
        </w:tc>
      </w:tr>
    </w:tbl>
    <w:p>
      <w:pPr>
        <w:spacing w:after="149"/>
      </w:pPr>
    </w:p>
    <w:p>
      <w:pPr>
        <w:pStyle w:val="3"/>
        <w:ind w:right="26"/>
        <w:jc w:val="center"/>
      </w:pPr>
      <w:r>
        <w:t>3.申报专业人才需求情况</w:t>
      </w:r>
    </w:p>
    <w:tbl>
      <w:tblPr>
        <w:tblStyle w:val="16"/>
        <w:tblW w:w="98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
      <w:tblGrid>
        <w:gridCol w:w="1807"/>
        <w:gridCol w:w="1374"/>
        <w:gridCol w:w="2808"/>
        <w:gridCol w:w="3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1" w:hRule="atLeast"/>
          <w:jc w:val="center"/>
        </w:trPr>
        <w:tc>
          <w:tcPr>
            <w:tcW w:w="3181" w:type="dxa"/>
            <w:gridSpan w:val="2"/>
            <w:vAlign w:val="center"/>
          </w:tcPr>
          <w:p>
            <w:pPr>
              <w:spacing w:after="0" w:line="240" w:lineRule="auto"/>
              <w:ind w:left="281"/>
              <w:rPr>
                <w:rFonts w:ascii="Times New Roman" w:hAnsi="Times New Roman" w:cs="Times New Roman"/>
              </w:rPr>
            </w:pPr>
            <w:r>
              <w:rPr>
                <w:rFonts w:ascii="Times New Roman" w:hAnsi="Times New Roman" w:eastAsia="微软雅黑" w:cs="Times New Roman"/>
                <w:sz w:val="24"/>
              </w:rPr>
              <w:t xml:space="preserve">申报专业主要就业领域 </w:t>
            </w:r>
          </w:p>
        </w:tc>
        <w:tc>
          <w:tcPr>
            <w:tcW w:w="6625" w:type="dxa"/>
            <w:gridSpan w:val="2"/>
            <w:vAlign w:val="bottom"/>
          </w:tcPr>
          <w:p>
            <w:pPr>
              <w:spacing w:after="0" w:line="240" w:lineRule="auto"/>
              <w:ind w:left="71"/>
              <w:rPr>
                <w:rFonts w:ascii="Times New Roman" w:hAnsi="Times New Roman" w:eastAsia="宋体" w:cs="Times New Roman"/>
              </w:rPr>
            </w:pPr>
            <w:r>
              <w:rPr>
                <w:rFonts w:hint="eastAsia" w:ascii="仿宋" w:hAnsi="仿宋" w:eastAsia="仿宋" w:cs="仿宋"/>
                <w:sz w:val="26"/>
                <w:szCs w:val="26"/>
              </w:rPr>
              <w:t>临床医生、从事精准医学的科学工作者 、临床科学家、生物技术、制药等行业从业者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6241" w:hRule="atLeast"/>
          <w:jc w:val="center"/>
        </w:trPr>
        <w:tc>
          <w:tcPr>
            <w:tcW w:w="9806" w:type="dxa"/>
            <w:gridSpan w:val="4"/>
          </w:tcPr>
          <w:p>
            <w:pPr>
              <w:spacing w:after="209" w:line="256" w:lineRule="auto"/>
              <w:rPr>
                <w:rFonts w:ascii="Times New Roman" w:hAnsi="Times New Roman" w:eastAsia="微软雅黑" w:cs="Times New Roman"/>
                <w:sz w:val="24"/>
              </w:rPr>
            </w:pPr>
            <w:r>
              <w:rPr>
                <w:rFonts w:ascii="Times New Roman" w:hAnsi="Times New Roman" w:eastAsia="微软雅黑" w:cs="Times New Roman"/>
                <w:sz w:val="24"/>
              </w:rPr>
              <w:t xml:space="preserve">人才需求情况（请加强与用人单位的沟通，预测用人单位对该专业的岗位需求。此处填写的内容要具体到用人单位名称及其人才需求预测数） </w:t>
            </w:r>
          </w:p>
          <w:p>
            <w:pPr>
              <w:spacing w:after="0" w:line="400" w:lineRule="exact"/>
              <w:ind w:firstLine="520" w:firstLineChars="200"/>
              <w:contextualSpacing/>
              <w:jc w:val="both"/>
              <w:rPr>
                <w:rFonts w:ascii="Times New Roman" w:hAnsi="Times New Roman" w:eastAsia="仿宋" w:cs="Times New Roman"/>
                <w:sz w:val="26"/>
                <w:szCs w:val="26"/>
              </w:rPr>
            </w:pPr>
            <w:r>
              <w:rPr>
                <w:rFonts w:ascii="Times New Roman" w:hAnsi="Times New Roman" w:eastAsia="仿宋" w:cs="Times New Roman"/>
                <w:sz w:val="26"/>
                <w:szCs w:val="26"/>
              </w:rPr>
              <w:t>根据十三届全国人大常委会第十次会议审议《国务院关于医师队伍管理情况和</w:t>
            </w:r>
            <w:r>
              <w:fldChar w:fldCharType="begin"/>
            </w:r>
            <w:r>
              <w:instrText xml:space="preserve"> HYPERLINK "http://www.med66.com/yishizigekaoshi/" \t "_blank" \o "执业医师" </w:instrText>
            </w:r>
            <w:r>
              <w:fldChar w:fldCharType="separate"/>
            </w:r>
            <w:r>
              <w:rPr>
                <w:rStyle w:val="12"/>
                <w:rFonts w:ascii="Times New Roman" w:hAnsi="Times New Roman" w:eastAsia="仿宋" w:cs="Times New Roman"/>
                <w:color w:val="auto"/>
                <w:sz w:val="26"/>
                <w:szCs w:val="26"/>
                <w:u w:val="none"/>
              </w:rPr>
              <w:t>执业医师</w:t>
            </w:r>
            <w:r>
              <w:rPr>
                <w:rStyle w:val="12"/>
                <w:rFonts w:ascii="Times New Roman" w:hAnsi="Times New Roman" w:eastAsia="仿宋" w:cs="Times New Roman"/>
                <w:color w:val="auto"/>
                <w:sz w:val="26"/>
                <w:szCs w:val="26"/>
                <w:u w:val="none"/>
              </w:rPr>
              <w:fldChar w:fldCharType="end"/>
            </w:r>
            <w:r>
              <w:rPr>
                <w:rFonts w:ascii="Times New Roman" w:hAnsi="Times New Roman" w:eastAsia="仿宋" w:cs="Times New Roman"/>
                <w:sz w:val="26"/>
                <w:szCs w:val="26"/>
              </w:rPr>
              <w:t>法实施情况的报告》，截至2018年底，我国医师数量达到360.7万，每千人中有2.58名医生。相比之下，美国约有110万名医生，每千人有3.3名医生。因此，我国医师数量相对总人口和国民经济发展不相</w:t>
            </w:r>
            <w:r>
              <w:rPr>
                <w:rFonts w:hint="eastAsia" w:ascii="Times New Roman" w:hAnsi="Times New Roman" w:eastAsia="仿宋" w:cs="Times New Roman"/>
                <w:sz w:val="26"/>
                <w:szCs w:val="26"/>
              </w:rPr>
              <w:t>符</w:t>
            </w:r>
            <w:r>
              <w:rPr>
                <w:rFonts w:ascii="Times New Roman" w:hAnsi="Times New Roman" w:eastAsia="仿宋" w:cs="Times New Roman"/>
                <w:sz w:val="26"/>
                <w:szCs w:val="26"/>
              </w:rPr>
              <w:t>。并且与欧美先进国家相比，优质医生的供给远远无法满足人们的需求。本次申报的临床医学新专业，是根据当前我国“新医科”发展趋势，实行医学教育改革，</w:t>
            </w:r>
            <w:r>
              <w:rPr>
                <w:rFonts w:hint="eastAsia" w:ascii="Times New Roman" w:hAnsi="Times New Roman" w:eastAsia="仿宋" w:cs="Times New Roman"/>
                <w:sz w:val="26"/>
                <w:szCs w:val="26"/>
              </w:rPr>
              <w:t>以临床医学为主干，整合精准医学科学，</w:t>
            </w:r>
            <w:r>
              <w:rPr>
                <w:rFonts w:ascii="Times New Roman" w:hAnsi="Times New Roman" w:eastAsia="仿宋" w:cs="Times New Roman"/>
                <w:sz w:val="26"/>
                <w:szCs w:val="26"/>
              </w:rPr>
              <w:t>培养既精通临床医学专业又熟知精准医学科学的复合型人才，以迎接精准医疗新时代的到来。</w:t>
            </w:r>
          </w:p>
          <w:p>
            <w:pPr>
              <w:spacing w:after="245" w:line="400" w:lineRule="exact"/>
              <w:contextualSpacing/>
              <w:jc w:val="both"/>
              <w:rPr>
                <w:rFonts w:ascii="Times New Roman" w:hAnsi="Times New Roman" w:eastAsia="仿宋" w:cs="Times New Roman"/>
                <w:sz w:val="26"/>
                <w:szCs w:val="26"/>
              </w:rPr>
            </w:pPr>
            <w:r>
              <w:rPr>
                <w:rFonts w:ascii="Times New Roman" w:hAnsi="Times New Roman" w:eastAsia="仿宋" w:cs="Times New Roman"/>
                <w:sz w:val="26"/>
                <w:szCs w:val="26"/>
              </w:rPr>
              <w:t xml:space="preserve">    </w:t>
            </w:r>
            <w:r>
              <w:rPr>
                <w:rFonts w:hint="eastAsia" w:ascii="Times New Roman" w:hAnsi="Times New Roman" w:eastAsia="仿宋" w:cs="Times New Roman"/>
                <w:sz w:val="26"/>
                <w:szCs w:val="26"/>
              </w:rPr>
              <w:t xml:space="preserve">   </w:t>
            </w:r>
            <w:r>
              <w:rPr>
                <w:rFonts w:ascii="Times New Roman" w:hAnsi="Times New Roman" w:eastAsia="仿宋" w:cs="Times New Roman"/>
                <w:sz w:val="26"/>
                <w:szCs w:val="26"/>
              </w:rPr>
              <w:t>精准医学市场前景广阔。据估计，2016至2020年，全球精准医疗市场规模将以每年15%的速率增长，预计2020年全球精准医疗市场规模将破千亿，达到1050亿美元。2015年3月11日，国家科技部首次召开国家精准医学战略专家会议，大力推动精准医学的发展，并确定在2030年前在精准医学领域投入600亿元；2016年3月17日，新华社发布“中华人民共和国国民经济和社会发展第十三个五年规划纲要”，将生物技术和精准医学列入支持战略性新兴产业发展规划中，精准医疗正成为我国重点发展的医疗领域之一。2018年，国家重点研发项目“精准医学研究”开始启动。在美国，每个医学院都设有各种与精准医学相关的研究机构，在我国精准医学也将如雨后春笋。例如，清华大学、西安交通大学、上海交通大学、四川大学、厦门大学、郑州大学、广州医科大学、青岛大学等，都建立了精准医学研究院。</w:t>
            </w:r>
          </w:p>
          <w:p>
            <w:pPr>
              <w:spacing w:after="245" w:line="400" w:lineRule="exact"/>
              <w:contextualSpacing/>
              <w:jc w:val="both"/>
              <w:rPr>
                <w:rFonts w:ascii="Times New Roman" w:hAnsi="Times New Roman" w:eastAsia="仿宋" w:cs="Times New Roman"/>
                <w:sz w:val="26"/>
                <w:szCs w:val="26"/>
              </w:rPr>
            </w:pPr>
            <w:r>
              <w:rPr>
                <w:rFonts w:ascii="Times New Roman" w:hAnsi="Times New Roman" w:eastAsia="仿宋" w:cs="Times New Roman"/>
                <w:sz w:val="26"/>
                <w:szCs w:val="26"/>
              </w:rPr>
              <w:t xml:space="preserve">     </w:t>
            </w:r>
            <w:r>
              <w:rPr>
                <w:rFonts w:hint="eastAsia" w:ascii="Times New Roman" w:hAnsi="Times New Roman" w:eastAsia="仿宋" w:cs="Times New Roman"/>
                <w:sz w:val="26"/>
                <w:szCs w:val="26"/>
              </w:rPr>
              <w:t xml:space="preserve">  </w:t>
            </w:r>
            <w:r>
              <w:rPr>
                <w:rFonts w:ascii="Times New Roman" w:hAnsi="Times New Roman" w:eastAsia="仿宋" w:cs="Times New Roman"/>
                <w:sz w:val="26"/>
                <w:szCs w:val="26"/>
              </w:rPr>
              <w:t>未来精准医学的发展关键在于两点。第一，将精准医学提升到国家战略层面</w:t>
            </w:r>
            <w:r>
              <w:rPr>
                <w:rFonts w:hint="eastAsia" w:ascii="Times New Roman" w:hAnsi="Times New Roman" w:eastAsia="仿宋" w:cs="Times New Roman"/>
                <w:sz w:val="26"/>
                <w:szCs w:val="26"/>
              </w:rPr>
              <w:t>，对此我国政府已制定相关战略规划</w:t>
            </w:r>
            <w:r>
              <w:rPr>
                <w:rFonts w:ascii="Times New Roman" w:hAnsi="Times New Roman" w:eastAsia="仿宋" w:cs="Times New Roman"/>
                <w:sz w:val="26"/>
                <w:szCs w:val="26"/>
              </w:rPr>
              <w:t>。第二，目前国内还缺乏很多真正懂精准医学的人才队伍，从现有的人才队伍来说，多数都是从国外学成回国或从者国外引进。因此，培养自己的精准医学人才队伍是当务之急。如果我们能成功举办临床医学和精准医学科学中外联合培养项目，每年招收125名左右的学生，必将在国内和国际市场抢占特殊专业人才培养和输送的高度。</w:t>
            </w:r>
          </w:p>
          <w:p>
            <w:pPr>
              <w:spacing w:after="245" w:line="400" w:lineRule="exact"/>
              <w:contextualSpacing/>
              <w:jc w:val="both"/>
              <w:rPr>
                <w:rFonts w:ascii="Times New Roman" w:hAnsi="Times New Roman" w:eastAsia="FangSong_GB2312" w:cs="Times New Roman"/>
                <w:sz w:val="24"/>
                <w:szCs w:val="24"/>
              </w:rPr>
            </w:pPr>
            <w:r>
              <w:rPr>
                <w:rFonts w:ascii="Times New Roman" w:hAnsi="Times New Roman" w:eastAsia="仿宋" w:cs="Times New Roman"/>
                <w:sz w:val="26"/>
                <w:szCs w:val="26"/>
              </w:rPr>
              <w:t xml:space="preserve">      该项目将有利于学生从以下几个方向发展：（1）继续深造，攻读研究生，从事精准医疗相关专业；（2）参加职业规范化训练，成为熟知精准医学的新一代医生。如影像学、诊断学、肿瘤学、心血管、糖尿病等临床学科，都需要大量熟知甚至精通精准医学的临床医生；（3）临床和科研双料专家, 国外称之为医生科学家（Physician Scientist），该职业在欧美发达国家的科研型医院盛行，这部分人引领医学科学的发展，在我国正在兴起；（4）从事精准医学的科学工作者，在其范围内，根据自己的兴趣和特长，从事亚专业的研究（5）从事精准医学工业行业，如生物技术、制药工业、精准医学服务行业等。因此，我们预期学生的就业率和研究生升学率将高于传统临床医学的专业。由于，本期申请的专业与我校与伦敦玛丽女王大学已有的合作项目-临床医学（生物医学）专业的培养目标和模式所不同，在招生、就业方面不存在自身竞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4" w:hRule="atLeast"/>
          <w:jc w:val="center"/>
        </w:trPr>
        <w:tc>
          <w:tcPr>
            <w:tcW w:w="1807" w:type="dxa"/>
            <w:vMerge w:val="restart"/>
            <w:vAlign w:val="bottom"/>
          </w:tcPr>
          <w:p>
            <w:pPr>
              <w:spacing w:before="100" w:beforeAutospacing="1" w:after="0" w:line="240" w:lineRule="auto"/>
              <w:rPr>
                <w:rFonts w:ascii="Times New Roman" w:hAnsi="Times New Roman" w:cs="Times New Roman"/>
              </w:rPr>
            </w:pPr>
            <w:r>
              <w:rPr>
                <w:rFonts w:ascii="Times New Roman" w:hAnsi="Times New Roman" w:eastAsia="微软雅黑" w:cs="Times New Roman"/>
                <w:sz w:val="24"/>
              </w:rPr>
              <w:t>申报专业人才需求调研情况</w:t>
            </w:r>
          </w:p>
          <w:p>
            <w:pPr>
              <w:spacing w:before="100" w:beforeAutospacing="1" w:after="0" w:line="240" w:lineRule="auto"/>
              <w:rPr>
                <w:rFonts w:ascii="Times New Roman" w:hAnsi="Times New Roman" w:eastAsia="微软雅黑" w:cs="Times New Roman"/>
                <w:sz w:val="24"/>
              </w:rPr>
            </w:pPr>
            <w:r>
              <w:rPr>
                <w:rFonts w:ascii="Times New Roman" w:hAnsi="Times New Roman" w:eastAsia="微软雅黑" w:cs="Times New Roman"/>
                <w:sz w:val="24"/>
              </w:rPr>
              <w:t>（可上传合作办学协议等）</w:t>
            </w:r>
          </w:p>
          <w:p>
            <w:pPr>
              <w:spacing w:before="100" w:beforeAutospacing="1" w:after="0" w:line="240" w:lineRule="auto"/>
              <w:rPr>
                <w:rFonts w:ascii="Times New Roman" w:hAnsi="Times New Roman" w:eastAsia="微软雅黑" w:cs="Times New Roman"/>
                <w:sz w:val="24"/>
              </w:rPr>
            </w:pPr>
          </w:p>
          <w:p>
            <w:pPr>
              <w:spacing w:before="100" w:beforeAutospacing="1" w:after="0" w:line="240" w:lineRule="auto"/>
              <w:rPr>
                <w:rFonts w:ascii="Times New Roman" w:hAnsi="Times New Roman" w:eastAsia="微软雅黑" w:cs="Times New Roman"/>
                <w:sz w:val="24"/>
              </w:rPr>
            </w:pPr>
          </w:p>
          <w:p>
            <w:pPr>
              <w:spacing w:before="100" w:beforeAutospacing="1" w:after="0" w:line="360" w:lineRule="auto"/>
              <w:rPr>
                <w:rFonts w:ascii="Times New Roman" w:hAnsi="Times New Roman" w:eastAsia="微软雅黑" w:cs="Times New Roman"/>
                <w:sz w:val="24"/>
              </w:rPr>
            </w:pPr>
          </w:p>
        </w:tc>
        <w:tc>
          <w:tcPr>
            <w:tcW w:w="4182" w:type="dxa"/>
            <w:gridSpan w:val="2"/>
            <w:vAlign w:val="bottom"/>
          </w:tcPr>
          <w:p>
            <w:pPr>
              <w:spacing w:after="0" w:line="240" w:lineRule="auto"/>
              <w:ind w:right="43"/>
              <w:jc w:val="center"/>
              <w:rPr>
                <w:rFonts w:ascii="Times New Roman" w:hAnsi="Times New Roman" w:cs="Times New Roman"/>
              </w:rPr>
            </w:pPr>
            <w:r>
              <w:rPr>
                <w:rFonts w:ascii="Times New Roman" w:hAnsi="Times New Roman" w:eastAsia="微软雅黑" w:cs="Times New Roman"/>
                <w:sz w:val="24"/>
              </w:rPr>
              <w:t xml:space="preserve">年度计划招生人数 </w:t>
            </w:r>
          </w:p>
        </w:tc>
        <w:tc>
          <w:tcPr>
            <w:tcW w:w="3817" w:type="dxa"/>
            <w:vAlign w:val="bottom"/>
          </w:tcPr>
          <w:p>
            <w:pPr>
              <w:spacing w:after="0" w:line="240" w:lineRule="auto"/>
              <w:ind w:left="77"/>
              <w:jc w:val="center"/>
              <w:rPr>
                <w:rFonts w:ascii="Times New Roman" w:hAnsi="Times New Roman" w:eastAsia="仿宋" w:cs="Times New Roman"/>
                <w:sz w:val="26"/>
                <w:szCs w:val="26"/>
              </w:rPr>
            </w:pPr>
            <w:r>
              <w:rPr>
                <w:rFonts w:ascii="Times New Roman" w:hAnsi="Times New Roman" w:eastAsia="仿宋" w:cs="Times New Roman"/>
                <w:sz w:val="26"/>
                <w:szCs w:val="26"/>
              </w:rPr>
              <w:t xml:space="preserve">125人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6" w:hRule="atLeast"/>
          <w:jc w:val="center"/>
        </w:trPr>
        <w:tc>
          <w:tcPr>
            <w:tcW w:w="1807" w:type="dxa"/>
            <w:vMerge w:val="continue"/>
          </w:tcPr>
          <w:p>
            <w:pPr>
              <w:spacing w:after="0" w:line="240" w:lineRule="auto"/>
              <w:rPr>
                <w:rFonts w:ascii="Times New Roman" w:hAnsi="Times New Roman" w:cs="Times New Roman"/>
              </w:rPr>
            </w:pPr>
          </w:p>
        </w:tc>
        <w:tc>
          <w:tcPr>
            <w:tcW w:w="4182" w:type="dxa"/>
            <w:gridSpan w:val="2"/>
            <w:vAlign w:val="bottom"/>
          </w:tcPr>
          <w:p>
            <w:pPr>
              <w:spacing w:after="0" w:line="240" w:lineRule="auto"/>
              <w:ind w:right="43"/>
              <w:jc w:val="center"/>
              <w:rPr>
                <w:rFonts w:ascii="Times New Roman" w:hAnsi="Times New Roman" w:cs="Times New Roman"/>
              </w:rPr>
            </w:pPr>
            <w:r>
              <w:rPr>
                <w:rFonts w:ascii="Times New Roman" w:hAnsi="Times New Roman" w:eastAsia="微软雅黑" w:cs="Times New Roman"/>
                <w:sz w:val="24"/>
              </w:rPr>
              <w:t xml:space="preserve">预计升学人数 </w:t>
            </w:r>
          </w:p>
        </w:tc>
        <w:tc>
          <w:tcPr>
            <w:tcW w:w="3817" w:type="dxa"/>
            <w:vAlign w:val="bottom"/>
          </w:tcPr>
          <w:p>
            <w:pPr>
              <w:spacing w:after="0" w:line="240" w:lineRule="auto"/>
              <w:ind w:left="77"/>
              <w:jc w:val="center"/>
              <w:rPr>
                <w:rFonts w:ascii="Times New Roman" w:hAnsi="Times New Roman" w:eastAsia="仿宋" w:cs="Times New Roman"/>
                <w:sz w:val="26"/>
                <w:szCs w:val="26"/>
              </w:rPr>
            </w:pPr>
            <w:r>
              <w:rPr>
                <w:rFonts w:hint="eastAsia" w:ascii="Times New Roman" w:hAnsi="Times New Roman" w:eastAsia="仿宋" w:cs="Times New Roman"/>
                <w:sz w:val="26"/>
                <w:szCs w:val="26"/>
              </w:rPr>
              <w:t>75</w:t>
            </w:r>
            <w:r>
              <w:rPr>
                <w:rFonts w:ascii="Times New Roman" w:hAnsi="Times New Roman" w:eastAsia="仿宋" w:cs="Times New Roman"/>
                <w:sz w:val="26"/>
                <w:szCs w:val="26"/>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4" w:hRule="atLeast"/>
          <w:jc w:val="center"/>
        </w:trPr>
        <w:tc>
          <w:tcPr>
            <w:tcW w:w="1807" w:type="dxa"/>
            <w:vMerge w:val="continue"/>
          </w:tcPr>
          <w:p>
            <w:pPr>
              <w:spacing w:after="0" w:line="240" w:lineRule="auto"/>
              <w:rPr>
                <w:rFonts w:ascii="Times New Roman" w:hAnsi="Times New Roman" w:cs="Times New Roman"/>
              </w:rPr>
            </w:pPr>
          </w:p>
        </w:tc>
        <w:tc>
          <w:tcPr>
            <w:tcW w:w="4182" w:type="dxa"/>
            <w:gridSpan w:val="2"/>
            <w:vAlign w:val="bottom"/>
          </w:tcPr>
          <w:p>
            <w:pPr>
              <w:spacing w:after="0" w:line="240" w:lineRule="auto"/>
              <w:ind w:right="43"/>
              <w:jc w:val="center"/>
              <w:rPr>
                <w:rFonts w:ascii="Times New Roman" w:hAnsi="Times New Roman" w:cs="Times New Roman"/>
              </w:rPr>
            </w:pPr>
            <w:r>
              <w:rPr>
                <w:rFonts w:ascii="Times New Roman" w:hAnsi="Times New Roman" w:eastAsia="微软雅黑" w:cs="Times New Roman"/>
                <w:sz w:val="24"/>
              </w:rPr>
              <w:t xml:space="preserve">预计就业人数 </w:t>
            </w:r>
          </w:p>
        </w:tc>
        <w:tc>
          <w:tcPr>
            <w:tcW w:w="3817" w:type="dxa"/>
            <w:vAlign w:val="bottom"/>
          </w:tcPr>
          <w:p>
            <w:pPr>
              <w:spacing w:after="0" w:line="240" w:lineRule="auto"/>
              <w:ind w:left="77"/>
              <w:jc w:val="center"/>
              <w:rPr>
                <w:rFonts w:ascii="Times New Roman" w:hAnsi="Times New Roman" w:eastAsia="仿宋" w:cs="Times New Roman"/>
                <w:sz w:val="26"/>
                <w:szCs w:val="26"/>
              </w:rPr>
            </w:pPr>
            <w:r>
              <w:rPr>
                <w:rFonts w:ascii="Times New Roman" w:hAnsi="Times New Roman" w:eastAsia="仿宋" w:cs="Times New Roman"/>
                <w:sz w:val="26"/>
                <w:szCs w:val="26"/>
              </w:rPr>
              <w:t xml:space="preserve"> </w:t>
            </w:r>
            <w:r>
              <w:rPr>
                <w:rFonts w:hint="eastAsia" w:ascii="Times New Roman" w:hAnsi="Times New Roman" w:eastAsia="仿宋" w:cs="Times New Roman"/>
                <w:sz w:val="26"/>
                <w:szCs w:val="26"/>
              </w:rPr>
              <w:t>50</w:t>
            </w:r>
            <w:r>
              <w:rPr>
                <w:rFonts w:ascii="Times New Roman" w:hAnsi="Times New Roman" w:eastAsia="仿宋" w:cs="Times New Roman"/>
                <w:sz w:val="26"/>
                <w:szCs w:val="26"/>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6" w:hRule="atLeast"/>
          <w:jc w:val="center"/>
        </w:trPr>
        <w:tc>
          <w:tcPr>
            <w:tcW w:w="1807" w:type="dxa"/>
            <w:vMerge w:val="continue"/>
          </w:tcPr>
          <w:p>
            <w:pPr>
              <w:spacing w:after="0" w:line="240" w:lineRule="auto"/>
              <w:rPr>
                <w:rFonts w:ascii="Times New Roman" w:hAnsi="Times New Roman" w:cs="Times New Roman"/>
              </w:rPr>
            </w:pPr>
          </w:p>
        </w:tc>
        <w:tc>
          <w:tcPr>
            <w:tcW w:w="4182" w:type="dxa"/>
            <w:gridSpan w:val="2"/>
            <w:vAlign w:val="bottom"/>
          </w:tcPr>
          <w:p>
            <w:pPr>
              <w:spacing w:after="0" w:line="240" w:lineRule="auto"/>
              <w:ind w:right="44"/>
              <w:jc w:val="center"/>
              <w:rPr>
                <w:rFonts w:ascii="Times New Roman" w:hAnsi="Times New Roman" w:cs="Times New Roman"/>
              </w:rPr>
            </w:pPr>
            <w:r>
              <w:rPr>
                <w:rFonts w:ascii="Times New Roman" w:hAnsi="Times New Roman" w:eastAsia="微软雅黑" w:cs="Times New Roman"/>
                <w:sz w:val="24"/>
              </w:rPr>
              <w:t xml:space="preserve">其中：（请填写用人单位名称） </w:t>
            </w:r>
          </w:p>
        </w:tc>
        <w:tc>
          <w:tcPr>
            <w:tcW w:w="3817" w:type="dxa"/>
            <w:vAlign w:val="bottom"/>
          </w:tcPr>
          <w:p>
            <w:pPr>
              <w:spacing w:after="0" w:line="240" w:lineRule="auto"/>
              <w:ind w:left="77"/>
              <w:jc w:val="center"/>
              <w:rPr>
                <w:rFonts w:ascii="仿宋" w:hAnsi="仿宋" w:eastAsia="仿宋" w:cs="仿宋"/>
                <w:sz w:val="26"/>
                <w:szCs w:val="26"/>
              </w:rPr>
            </w:pPr>
            <w:r>
              <w:rPr>
                <w:rFonts w:hint="eastAsia" w:ascii="仿宋" w:hAnsi="仿宋" w:eastAsia="仿宋" w:cs="仿宋"/>
                <w:sz w:val="26"/>
                <w:szCs w:val="26"/>
              </w:rPr>
              <w:t xml:space="preserve">南昌大学第一附属医院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6" w:hRule="atLeast"/>
          <w:jc w:val="center"/>
        </w:trPr>
        <w:tc>
          <w:tcPr>
            <w:tcW w:w="1807" w:type="dxa"/>
            <w:vMerge w:val="continue"/>
          </w:tcPr>
          <w:p>
            <w:pPr>
              <w:spacing w:after="0" w:line="240" w:lineRule="auto"/>
              <w:rPr>
                <w:rFonts w:ascii="Times New Roman" w:hAnsi="Times New Roman" w:cs="Times New Roman"/>
              </w:rPr>
            </w:pPr>
          </w:p>
        </w:tc>
        <w:tc>
          <w:tcPr>
            <w:tcW w:w="4182" w:type="dxa"/>
            <w:gridSpan w:val="2"/>
            <w:vAlign w:val="bottom"/>
          </w:tcPr>
          <w:p>
            <w:pPr>
              <w:spacing w:after="0" w:line="240" w:lineRule="auto"/>
              <w:ind w:right="43"/>
              <w:jc w:val="center"/>
              <w:rPr>
                <w:rFonts w:ascii="Times New Roman" w:hAnsi="Times New Roman" w:cs="Times New Roman"/>
              </w:rPr>
            </w:pPr>
            <w:r>
              <w:rPr>
                <w:rFonts w:ascii="Times New Roman" w:hAnsi="Times New Roman" w:eastAsia="微软雅黑" w:cs="Times New Roman"/>
                <w:sz w:val="24"/>
              </w:rPr>
              <w:t xml:space="preserve">（请填写用人单位名称） </w:t>
            </w:r>
          </w:p>
        </w:tc>
        <w:tc>
          <w:tcPr>
            <w:tcW w:w="3817" w:type="dxa"/>
            <w:vAlign w:val="bottom"/>
          </w:tcPr>
          <w:p>
            <w:pPr>
              <w:spacing w:after="0" w:line="240" w:lineRule="auto"/>
              <w:ind w:left="77"/>
              <w:jc w:val="center"/>
              <w:rPr>
                <w:rFonts w:ascii="仿宋" w:hAnsi="仿宋" w:eastAsia="仿宋" w:cs="仿宋"/>
                <w:sz w:val="26"/>
                <w:szCs w:val="26"/>
              </w:rPr>
            </w:pPr>
            <w:r>
              <w:rPr>
                <w:rFonts w:hint="eastAsia" w:ascii="仿宋" w:hAnsi="仿宋" w:eastAsia="仿宋" w:cs="仿宋"/>
                <w:sz w:val="26"/>
                <w:szCs w:val="26"/>
              </w:rPr>
              <w:t xml:space="preserve">南昌大学第二附属医院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4" w:hRule="atLeast"/>
          <w:jc w:val="center"/>
        </w:trPr>
        <w:tc>
          <w:tcPr>
            <w:tcW w:w="1807" w:type="dxa"/>
            <w:vMerge w:val="continue"/>
          </w:tcPr>
          <w:p>
            <w:pPr>
              <w:spacing w:after="0" w:line="240" w:lineRule="auto"/>
              <w:rPr>
                <w:rFonts w:ascii="Times New Roman" w:hAnsi="Times New Roman" w:cs="Times New Roman"/>
              </w:rPr>
            </w:pPr>
          </w:p>
        </w:tc>
        <w:tc>
          <w:tcPr>
            <w:tcW w:w="4182" w:type="dxa"/>
            <w:gridSpan w:val="2"/>
            <w:vAlign w:val="bottom"/>
          </w:tcPr>
          <w:p>
            <w:pPr>
              <w:spacing w:after="0" w:line="240" w:lineRule="auto"/>
              <w:ind w:right="43"/>
              <w:jc w:val="center"/>
              <w:rPr>
                <w:rFonts w:ascii="Times New Roman" w:hAnsi="Times New Roman" w:eastAsia="微软雅黑" w:cs="Times New Roman"/>
                <w:sz w:val="24"/>
              </w:rPr>
            </w:pPr>
            <w:r>
              <w:rPr>
                <w:rFonts w:ascii="Times New Roman" w:hAnsi="Times New Roman" w:eastAsia="微软雅黑" w:cs="Times New Roman"/>
                <w:sz w:val="24"/>
              </w:rPr>
              <w:t>（请填写用人单位名称）</w:t>
            </w:r>
          </w:p>
        </w:tc>
        <w:tc>
          <w:tcPr>
            <w:tcW w:w="3817" w:type="dxa"/>
            <w:vAlign w:val="bottom"/>
          </w:tcPr>
          <w:p>
            <w:pPr>
              <w:spacing w:after="0" w:line="240" w:lineRule="auto"/>
              <w:ind w:left="77"/>
              <w:jc w:val="center"/>
              <w:rPr>
                <w:rFonts w:ascii="仿宋" w:hAnsi="仿宋" w:eastAsia="仿宋" w:cs="仿宋"/>
                <w:sz w:val="26"/>
                <w:szCs w:val="26"/>
              </w:rPr>
            </w:pPr>
            <w:r>
              <w:rPr>
                <w:rFonts w:hint="eastAsia" w:ascii="仿宋" w:hAnsi="仿宋" w:eastAsia="仿宋" w:cs="仿宋"/>
                <w:sz w:val="26"/>
                <w:szCs w:val="26"/>
              </w:rPr>
              <w:t>北京大学肿瘤医院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4" w:hRule="atLeast"/>
          <w:jc w:val="center"/>
        </w:trPr>
        <w:tc>
          <w:tcPr>
            <w:tcW w:w="1807" w:type="dxa"/>
            <w:vMerge w:val="continue"/>
          </w:tcPr>
          <w:p>
            <w:pPr>
              <w:spacing w:after="0" w:line="240" w:lineRule="auto"/>
              <w:rPr>
                <w:rFonts w:ascii="Times New Roman" w:hAnsi="Times New Roman" w:cs="Times New Roman"/>
              </w:rPr>
            </w:pPr>
          </w:p>
        </w:tc>
        <w:tc>
          <w:tcPr>
            <w:tcW w:w="4182" w:type="dxa"/>
            <w:gridSpan w:val="2"/>
            <w:vAlign w:val="bottom"/>
          </w:tcPr>
          <w:p>
            <w:pPr>
              <w:spacing w:after="0" w:line="240" w:lineRule="auto"/>
              <w:ind w:right="43"/>
              <w:jc w:val="center"/>
              <w:rPr>
                <w:rFonts w:ascii="Times New Roman" w:hAnsi="Times New Roman" w:eastAsia="微软雅黑" w:cs="Times New Roman"/>
                <w:sz w:val="24"/>
              </w:rPr>
            </w:pPr>
            <w:r>
              <w:rPr>
                <w:rFonts w:ascii="Times New Roman" w:hAnsi="Times New Roman" w:eastAsia="微软雅黑" w:cs="Times New Roman"/>
                <w:sz w:val="24"/>
              </w:rPr>
              <w:t>（请填写用人单位名称）</w:t>
            </w:r>
          </w:p>
        </w:tc>
        <w:tc>
          <w:tcPr>
            <w:tcW w:w="3817" w:type="dxa"/>
            <w:vAlign w:val="bottom"/>
          </w:tcPr>
          <w:p>
            <w:pPr>
              <w:spacing w:after="0" w:line="240" w:lineRule="auto"/>
              <w:ind w:left="77"/>
              <w:jc w:val="center"/>
              <w:rPr>
                <w:rFonts w:ascii="仿宋" w:hAnsi="仿宋" w:eastAsia="仿宋" w:cs="仿宋"/>
                <w:sz w:val="26"/>
                <w:szCs w:val="26"/>
              </w:rPr>
            </w:pPr>
            <w:r>
              <w:rPr>
                <w:rFonts w:hint="eastAsia" w:ascii="仿宋" w:hAnsi="仿宋" w:eastAsia="仿宋" w:cs="仿宋"/>
                <w:sz w:val="26"/>
                <w:szCs w:val="26"/>
              </w:rPr>
              <w:t>中山大学肿瘤防治中心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4" w:hRule="atLeast"/>
          <w:jc w:val="center"/>
        </w:trPr>
        <w:tc>
          <w:tcPr>
            <w:tcW w:w="1807" w:type="dxa"/>
            <w:vMerge w:val="continue"/>
          </w:tcPr>
          <w:p>
            <w:pPr>
              <w:spacing w:after="0" w:line="240" w:lineRule="auto"/>
              <w:rPr>
                <w:rFonts w:ascii="Times New Roman" w:hAnsi="Times New Roman" w:cs="Times New Roman"/>
              </w:rPr>
            </w:pPr>
          </w:p>
        </w:tc>
        <w:tc>
          <w:tcPr>
            <w:tcW w:w="4182" w:type="dxa"/>
            <w:gridSpan w:val="2"/>
            <w:vAlign w:val="bottom"/>
          </w:tcPr>
          <w:p>
            <w:pPr>
              <w:spacing w:after="0" w:line="240" w:lineRule="auto"/>
              <w:ind w:right="43"/>
              <w:jc w:val="center"/>
              <w:rPr>
                <w:rFonts w:ascii="Times New Roman" w:hAnsi="Times New Roman" w:cs="Times New Roman"/>
              </w:rPr>
            </w:pPr>
            <w:r>
              <w:rPr>
                <w:rFonts w:ascii="Times New Roman" w:hAnsi="Times New Roman" w:eastAsia="微软雅黑" w:cs="Times New Roman"/>
                <w:sz w:val="24"/>
              </w:rPr>
              <w:t xml:space="preserve">（请填写用人单位名称） </w:t>
            </w:r>
          </w:p>
        </w:tc>
        <w:tc>
          <w:tcPr>
            <w:tcW w:w="3817" w:type="dxa"/>
            <w:vAlign w:val="bottom"/>
          </w:tcPr>
          <w:p>
            <w:pPr>
              <w:spacing w:after="0" w:line="240" w:lineRule="auto"/>
              <w:ind w:left="77"/>
              <w:jc w:val="center"/>
              <w:rPr>
                <w:rFonts w:ascii="仿宋" w:hAnsi="仿宋" w:eastAsia="仿宋" w:cs="仿宋"/>
                <w:sz w:val="26"/>
                <w:szCs w:val="26"/>
              </w:rPr>
            </w:pPr>
            <w:r>
              <w:rPr>
                <w:rFonts w:hint="eastAsia" w:ascii="仿宋" w:hAnsi="仿宋" w:eastAsia="仿宋" w:cs="仿宋"/>
                <w:sz w:val="26"/>
                <w:szCs w:val="26"/>
              </w:rPr>
              <w:t>深圳华大基因股份有限公司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4" w:hRule="atLeast"/>
          <w:jc w:val="center"/>
        </w:trPr>
        <w:tc>
          <w:tcPr>
            <w:tcW w:w="1807" w:type="dxa"/>
            <w:vMerge w:val="continue"/>
          </w:tcPr>
          <w:p>
            <w:pPr>
              <w:spacing w:after="0" w:line="240" w:lineRule="auto"/>
              <w:rPr>
                <w:rFonts w:ascii="Times New Roman" w:hAnsi="Times New Roman" w:cs="Times New Roman"/>
              </w:rPr>
            </w:pPr>
          </w:p>
        </w:tc>
        <w:tc>
          <w:tcPr>
            <w:tcW w:w="4182" w:type="dxa"/>
            <w:gridSpan w:val="2"/>
            <w:vAlign w:val="bottom"/>
          </w:tcPr>
          <w:p>
            <w:pPr>
              <w:spacing w:after="0" w:line="240" w:lineRule="auto"/>
              <w:ind w:right="43"/>
              <w:jc w:val="center"/>
              <w:rPr>
                <w:rFonts w:ascii="Times New Roman" w:hAnsi="Times New Roman" w:cs="Times New Roman"/>
              </w:rPr>
            </w:pPr>
            <w:r>
              <w:rPr>
                <w:rFonts w:ascii="Times New Roman" w:hAnsi="Times New Roman" w:eastAsia="微软雅黑" w:cs="Times New Roman"/>
                <w:sz w:val="24"/>
              </w:rPr>
              <w:t xml:space="preserve">（请填写用人单位名称） </w:t>
            </w:r>
          </w:p>
        </w:tc>
        <w:tc>
          <w:tcPr>
            <w:tcW w:w="3817" w:type="dxa"/>
            <w:vAlign w:val="bottom"/>
          </w:tcPr>
          <w:p>
            <w:pPr>
              <w:spacing w:after="0" w:line="240" w:lineRule="auto"/>
              <w:ind w:left="77"/>
              <w:jc w:val="center"/>
              <w:rPr>
                <w:rFonts w:ascii="仿宋" w:hAnsi="仿宋" w:eastAsia="仿宋" w:cs="仿宋"/>
                <w:sz w:val="26"/>
                <w:szCs w:val="26"/>
              </w:rPr>
            </w:pPr>
            <w:r>
              <w:rPr>
                <w:rFonts w:hint="eastAsia" w:ascii="仿宋" w:hAnsi="仿宋" w:eastAsia="仿宋" w:cs="仿宋"/>
                <w:sz w:val="26"/>
                <w:szCs w:val="26"/>
              </w:rPr>
              <w:t xml:space="preserve">生工生物工程(上海)股份有限公司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4" w:hRule="atLeast"/>
          <w:jc w:val="center"/>
        </w:trPr>
        <w:tc>
          <w:tcPr>
            <w:tcW w:w="1807" w:type="dxa"/>
            <w:vMerge w:val="continue"/>
          </w:tcPr>
          <w:p>
            <w:pPr>
              <w:spacing w:after="0" w:line="240" w:lineRule="auto"/>
              <w:rPr>
                <w:rFonts w:ascii="Times New Roman" w:hAnsi="Times New Roman" w:cs="Times New Roman"/>
              </w:rPr>
            </w:pPr>
          </w:p>
        </w:tc>
        <w:tc>
          <w:tcPr>
            <w:tcW w:w="4182" w:type="dxa"/>
            <w:gridSpan w:val="2"/>
          </w:tcPr>
          <w:p>
            <w:pPr>
              <w:spacing w:after="0" w:line="240" w:lineRule="auto"/>
              <w:ind w:right="43"/>
              <w:jc w:val="center"/>
              <w:rPr>
                <w:rFonts w:ascii="Times New Roman" w:hAnsi="Times New Roman" w:cs="Times New Roman"/>
              </w:rPr>
            </w:pPr>
            <w:r>
              <w:rPr>
                <w:rFonts w:ascii="Times New Roman" w:hAnsi="Times New Roman" w:eastAsia="微软雅黑" w:cs="Times New Roman"/>
                <w:sz w:val="24"/>
              </w:rPr>
              <w:t>（请填写用人单位名称）</w:t>
            </w:r>
          </w:p>
        </w:tc>
        <w:tc>
          <w:tcPr>
            <w:tcW w:w="3817" w:type="dxa"/>
            <w:vAlign w:val="bottom"/>
          </w:tcPr>
          <w:p>
            <w:pPr>
              <w:spacing w:after="0" w:line="240" w:lineRule="auto"/>
              <w:ind w:left="77"/>
              <w:jc w:val="center"/>
              <w:rPr>
                <w:rFonts w:ascii="仿宋" w:hAnsi="仿宋" w:eastAsia="仿宋" w:cs="仿宋"/>
                <w:sz w:val="26"/>
                <w:szCs w:val="26"/>
              </w:rPr>
            </w:pPr>
            <w:r>
              <w:rPr>
                <w:rFonts w:hint="eastAsia" w:ascii="仿宋" w:hAnsi="仿宋" w:eastAsia="仿宋" w:cs="仿宋"/>
                <w:sz w:val="26"/>
                <w:szCs w:val="26"/>
              </w:rPr>
              <w:t>上海交通大学精准医学研究所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1" w:type="dxa"/>
            <w:left w:w="108" w:type="dxa"/>
            <w:bottom w:w="84" w:type="dxa"/>
            <w:right w:w="65" w:type="dxa"/>
          </w:tblCellMar>
        </w:tblPrEx>
        <w:trPr>
          <w:trHeight w:val="574" w:hRule="atLeast"/>
          <w:jc w:val="center"/>
        </w:trPr>
        <w:tc>
          <w:tcPr>
            <w:tcW w:w="1807" w:type="dxa"/>
            <w:vMerge w:val="continue"/>
          </w:tcPr>
          <w:p>
            <w:pPr>
              <w:spacing w:after="0" w:line="240" w:lineRule="auto"/>
              <w:rPr>
                <w:rFonts w:ascii="Times New Roman" w:hAnsi="Times New Roman" w:cs="Times New Roman"/>
              </w:rPr>
            </w:pPr>
          </w:p>
        </w:tc>
        <w:tc>
          <w:tcPr>
            <w:tcW w:w="4182" w:type="dxa"/>
            <w:gridSpan w:val="2"/>
          </w:tcPr>
          <w:p>
            <w:pPr>
              <w:spacing w:after="0" w:line="240" w:lineRule="auto"/>
              <w:ind w:right="43"/>
              <w:jc w:val="center"/>
              <w:rPr>
                <w:rFonts w:ascii="Times New Roman" w:hAnsi="Times New Roman" w:cs="Times New Roman"/>
              </w:rPr>
            </w:pPr>
            <w:r>
              <w:rPr>
                <w:rFonts w:ascii="Times New Roman" w:hAnsi="Times New Roman" w:eastAsia="微软雅黑" w:cs="Times New Roman"/>
                <w:sz w:val="24"/>
              </w:rPr>
              <w:t>（请填写用人单位名称）</w:t>
            </w:r>
          </w:p>
        </w:tc>
        <w:tc>
          <w:tcPr>
            <w:tcW w:w="3817" w:type="dxa"/>
            <w:vAlign w:val="bottom"/>
          </w:tcPr>
          <w:p>
            <w:pPr>
              <w:spacing w:after="0" w:line="240" w:lineRule="auto"/>
              <w:ind w:left="77"/>
              <w:jc w:val="center"/>
              <w:rPr>
                <w:rFonts w:ascii="仿宋" w:hAnsi="仿宋" w:eastAsia="仿宋" w:cs="仿宋"/>
                <w:sz w:val="26"/>
                <w:szCs w:val="26"/>
              </w:rPr>
            </w:pPr>
            <w:r>
              <w:rPr>
                <w:rFonts w:hint="eastAsia" w:ascii="仿宋" w:hAnsi="仿宋" w:eastAsia="仿宋" w:cs="仿宋"/>
                <w:sz w:val="26"/>
                <w:szCs w:val="26"/>
              </w:rPr>
              <w:t>四川大学精准医学研究所</w:t>
            </w:r>
          </w:p>
        </w:tc>
      </w:tr>
    </w:tbl>
    <w:p>
      <w:pPr>
        <w:spacing w:after="149"/>
        <w:ind w:left="973"/>
        <w:jc w:val="center"/>
      </w:pPr>
      <w:r>
        <w:rPr>
          <w:rFonts w:ascii="微软雅黑" w:hAnsi="微软雅黑" w:eastAsia="微软雅黑" w:cs="微软雅黑"/>
          <w:sz w:val="36"/>
        </w:rPr>
        <w:t xml:space="preserve"> </w:t>
      </w:r>
    </w:p>
    <w:p>
      <w:pPr>
        <w:spacing w:after="0"/>
        <w:ind w:left="77"/>
      </w:pPr>
      <w:r>
        <w:rPr>
          <w:rFonts w:ascii="微软雅黑" w:hAnsi="微软雅黑" w:eastAsia="微软雅黑" w:cs="微软雅黑"/>
          <w:sz w:val="36"/>
        </w:rPr>
        <w:t xml:space="preserve"> </w:t>
      </w:r>
      <w:r>
        <w:rPr>
          <w:rFonts w:ascii="微软雅黑" w:hAnsi="微软雅黑" w:eastAsia="微软雅黑" w:cs="微软雅黑"/>
          <w:sz w:val="36"/>
        </w:rPr>
        <w:tab/>
      </w:r>
      <w:r>
        <w:rPr>
          <w:rFonts w:ascii="微软雅黑" w:hAnsi="微软雅黑" w:eastAsia="微软雅黑" w:cs="微软雅黑"/>
          <w:sz w:val="36"/>
        </w:rPr>
        <w:t xml:space="preserve"> </w:t>
      </w:r>
    </w:p>
    <w:p>
      <w:pPr>
        <w:pStyle w:val="3"/>
        <w:spacing w:after="139"/>
        <w:ind w:right="26"/>
        <w:jc w:val="center"/>
      </w:pPr>
      <w:r>
        <w:t>4.教师及课程基本情况表</w:t>
      </w:r>
    </w:p>
    <w:p>
      <w:pPr>
        <w:spacing w:after="0"/>
        <w:ind w:left="450" w:hanging="10"/>
        <w:rPr>
          <w:rFonts w:eastAsia="微软雅黑"/>
        </w:rPr>
      </w:pPr>
      <w:r>
        <w:rPr>
          <w:rFonts w:ascii="微软雅黑" w:hAnsi="微软雅黑" w:eastAsia="微软雅黑" w:cs="微软雅黑"/>
          <w:sz w:val="28"/>
        </w:rPr>
        <w:t>4.1教师及开课情况汇总表</w:t>
      </w:r>
      <w:r>
        <w:rPr>
          <w:rFonts w:ascii="微软雅黑" w:hAnsi="微软雅黑" w:eastAsia="微软雅黑" w:cs="微软雅黑"/>
          <w:sz w:val="24"/>
        </w:rPr>
        <w:t>（以下统计数据由系统生成）</w:t>
      </w:r>
    </w:p>
    <w:tbl>
      <w:tblPr>
        <w:tblStyle w:val="16"/>
        <w:tblW w:w="9540" w:type="dxa"/>
        <w:jc w:val="center"/>
        <w:tblInd w:w="445" w:type="dxa"/>
        <w:tblLayout w:type="fixed"/>
        <w:tblCellMar>
          <w:top w:w="110" w:type="dxa"/>
          <w:left w:w="293" w:type="dxa"/>
          <w:bottom w:w="0" w:type="dxa"/>
          <w:right w:w="115" w:type="dxa"/>
        </w:tblCellMar>
      </w:tblPr>
      <w:tblGrid>
        <w:gridCol w:w="6480"/>
        <w:gridCol w:w="3060"/>
      </w:tblGrid>
      <w:tr>
        <w:tblPrEx>
          <w:tblLayout w:type="fixed"/>
          <w:tblCellMar>
            <w:top w:w="110" w:type="dxa"/>
            <w:left w:w="293" w:type="dxa"/>
            <w:bottom w:w="0" w:type="dxa"/>
            <w:right w:w="115" w:type="dxa"/>
          </w:tblCellMar>
        </w:tblPrEx>
        <w:trPr>
          <w:trHeight w:val="408" w:hRule="atLeast"/>
          <w:jc w:val="center"/>
        </w:trPr>
        <w:tc>
          <w:tcPr>
            <w:tcW w:w="6480" w:type="dxa"/>
            <w:tcBorders>
              <w:top w:val="single" w:color="000000" w:sz="4" w:space="0"/>
              <w:left w:val="single" w:color="000000" w:sz="4" w:space="0"/>
              <w:bottom w:val="single" w:color="000000" w:sz="4" w:space="0"/>
              <w:right w:val="single" w:color="000000" w:sz="4" w:space="0"/>
            </w:tcBorders>
          </w:tcPr>
          <w:p>
            <w:pPr>
              <w:spacing w:after="0" w:line="240" w:lineRule="auto"/>
              <w:ind w:right="177"/>
              <w:jc w:val="center"/>
            </w:pPr>
            <w:r>
              <w:rPr>
                <w:rFonts w:ascii="微软雅黑" w:hAnsi="微软雅黑" w:eastAsia="微软雅黑" w:cs="微软雅黑"/>
                <w:sz w:val="24"/>
              </w:rPr>
              <w:t>专任教师总数</w:t>
            </w:r>
          </w:p>
        </w:tc>
        <w:tc>
          <w:tcPr>
            <w:tcW w:w="3060" w:type="dxa"/>
            <w:tcBorders>
              <w:top w:val="single" w:color="000000" w:sz="4" w:space="0"/>
              <w:left w:val="single" w:color="000000" w:sz="4" w:space="0"/>
              <w:bottom w:val="single" w:color="000000" w:sz="4" w:space="0"/>
              <w:right w:val="single" w:color="000000" w:sz="4" w:space="0"/>
            </w:tcBorders>
          </w:tcPr>
          <w:p>
            <w:pPr>
              <w:spacing w:after="0" w:line="240" w:lineRule="auto"/>
              <w:ind w:right="117"/>
              <w:jc w:val="center"/>
              <w:rPr>
                <w:rFonts w:ascii="Times New Roman" w:hAnsi="Times New Roman" w:eastAsia="宋体" w:cs="Times New Roman"/>
                <w:sz w:val="26"/>
                <w:szCs w:val="26"/>
              </w:rPr>
            </w:pPr>
            <w:r>
              <w:rPr>
                <w:rFonts w:ascii="Times New Roman" w:hAnsi="Times New Roman" w:eastAsia="宋体" w:cs="Times New Roman"/>
                <w:sz w:val="26"/>
                <w:szCs w:val="26"/>
              </w:rPr>
              <w:t>24</w:t>
            </w:r>
            <w:r>
              <w:rPr>
                <w:rFonts w:hint="eastAsia" w:ascii="Times New Roman" w:hAnsi="Times New Roman" w:eastAsia="宋体" w:cs="Times New Roman"/>
                <w:sz w:val="26"/>
                <w:szCs w:val="26"/>
              </w:rPr>
              <w:t>9</w:t>
            </w:r>
          </w:p>
        </w:tc>
      </w:tr>
      <w:tr>
        <w:tblPrEx>
          <w:tblLayout w:type="fixed"/>
          <w:tblCellMar>
            <w:top w:w="110" w:type="dxa"/>
            <w:left w:w="293" w:type="dxa"/>
            <w:bottom w:w="0" w:type="dxa"/>
            <w:right w:w="115" w:type="dxa"/>
          </w:tblCellMar>
        </w:tblPrEx>
        <w:trPr>
          <w:trHeight w:val="410" w:hRule="atLeast"/>
          <w:jc w:val="center"/>
        </w:trPr>
        <w:tc>
          <w:tcPr>
            <w:tcW w:w="6480" w:type="dxa"/>
            <w:tcBorders>
              <w:top w:val="single" w:color="000000" w:sz="4" w:space="0"/>
              <w:left w:val="single" w:color="000000" w:sz="4" w:space="0"/>
              <w:bottom w:val="single" w:color="000000" w:sz="4" w:space="0"/>
              <w:right w:val="single" w:color="000000" w:sz="4" w:space="0"/>
            </w:tcBorders>
          </w:tcPr>
          <w:p>
            <w:pPr>
              <w:spacing w:after="0" w:line="240" w:lineRule="auto"/>
              <w:ind w:right="179"/>
              <w:jc w:val="center"/>
            </w:pPr>
            <w:r>
              <w:rPr>
                <w:rFonts w:ascii="微软雅黑" w:hAnsi="微软雅黑" w:eastAsia="微软雅黑" w:cs="微软雅黑"/>
                <w:sz w:val="24"/>
              </w:rPr>
              <w:t>具有教授（含其他正高级）职称教师数及比例</w:t>
            </w:r>
          </w:p>
        </w:tc>
        <w:tc>
          <w:tcPr>
            <w:tcW w:w="3060" w:type="dxa"/>
            <w:tcBorders>
              <w:top w:val="single" w:color="000000" w:sz="4" w:space="0"/>
              <w:left w:val="single" w:color="000000" w:sz="4" w:space="0"/>
              <w:bottom w:val="single" w:color="000000" w:sz="4" w:space="0"/>
              <w:right w:val="single" w:color="000000" w:sz="4" w:space="0"/>
            </w:tcBorders>
          </w:tcPr>
          <w:p>
            <w:pPr>
              <w:spacing w:after="0" w:line="240" w:lineRule="auto"/>
              <w:ind w:right="117"/>
              <w:jc w:val="center"/>
              <w:rPr>
                <w:rFonts w:ascii="Times New Roman" w:hAnsi="Times New Roman" w:eastAsia="宋体" w:cs="Times New Roman"/>
                <w:sz w:val="26"/>
                <w:szCs w:val="26"/>
              </w:rPr>
            </w:pPr>
            <w:r>
              <w:rPr>
                <w:rFonts w:ascii="Times New Roman" w:hAnsi="Times New Roman" w:eastAsia="宋体" w:cs="Times New Roman"/>
                <w:sz w:val="26"/>
                <w:szCs w:val="26"/>
              </w:rPr>
              <w:t>36%</w:t>
            </w:r>
          </w:p>
        </w:tc>
      </w:tr>
      <w:tr>
        <w:tblPrEx>
          <w:tblLayout w:type="fixed"/>
          <w:tblCellMar>
            <w:top w:w="110" w:type="dxa"/>
            <w:left w:w="293" w:type="dxa"/>
            <w:bottom w:w="0" w:type="dxa"/>
            <w:right w:w="115" w:type="dxa"/>
          </w:tblCellMar>
        </w:tblPrEx>
        <w:trPr>
          <w:trHeight w:val="410" w:hRule="atLeast"/>
          <w:jc w:val="center"/>
        </w:trPr>
        <w:tc>
          <w:tcPr>
            <w:tcW w:w="6480" w:type="dxa"/>
            <w:tcBorders>
              <w:top w:val="single" w:color="000000" w:sz="4" w:space="0"/>
              <w:left w:val="single" w:color="000000" w:sz="4" w:space="0"/>
              <w:bottom w:val="single" w:color="000000" w:sz="4" w:space="0"/>
              <w:right w:val="single" w:color="000000" w:sz="4" w:space="0"/>
            </w:tcBorders>
          </w:tcPr>
          <w:p>
            <w:pPr>
              <w:spacing w:after="0" w:line="240" w:lineRule="auto"/>
              <w:jc w:val="center"/>
            </w:pPr>
            <w:r>
              <w:rPr>
                <w:rFonts w:ascii="微软雅黑" w:hAnsi="微软雅黑" w:eastAsia="微软雅黑" w:cs="微软雅黑"/>
                <w:sz w:val="24"/>
              </w:rPr>
              <w:t>具有副教授及以上（含其他副高级）职称教师数及比例</w:t>
            </w:r>
          </w:p>
        </w:tc>
        <w:tc>
          <w:tcPr>
            <w:tcW w:w="3060" w:type="dxa"/>
            <w:tcBorders>
              <w:top w:val="single" w:color="000000" w:sz="4" w:space="0"/>
              <w:left w:val="single" w:color="000000" w:sz="4" w:space="0"/>
              <w:bottom w:val="single" w:color="000000" w:sz="4" w:space="0"/>
              <w:right w:val="single" w:color="000000" w:sz="4" w:space="0"/>
            </w:tcBorders>
          </w:tcPr>
          <w:p>
            <w:pPr>
              <w:spacing w:after="0" w:line="240" w:lineRule="auto"/>
              <w:ind w:right="117"/>
              <w:jc w:val="center"/>
              <w:rPr>
                <w:rFonts w:ascii="Times New Roman" w:hAnsi="Times New Roman" w:eastAsia="宋体" w:cs="Times New Roman"/>
                <w:sz w:val="26"/>
                <w:szCs w:val="26"/>
              </w:rPr>
            </w:pPr>
            <w:r>
              <w:rPr>
                <w:rFonts w:ascii="Times New Roman" w:hAnsi="Times New Roman" w:eastAsia="宋体" w:cs="Times New Roman"/>
                <w:sz w:val="26"/>
                <w:szCs w:val="26"/>
              </w:rPr>
              <w:t>67%</w:t>
            </w:r>
          </w:p>
        </w:tc>
      </w:tr>
      <w:tr>
        <w:tblPrEx>
          <w:tblLayout w:type="fixed"/>
          <w:tblCellMar>
            <w:top w:w="110" w:type="dxa"/>
            <w:left w:w="293" w:type="dxa"/>
            <w:bottom w:w="0" w:type="dxa"/>
            <w:right w:w="115" w:type="dxa"/>
          </w:tblCellMar>
        </w:tblPrEx>
        <w:trPr>
          <w:trHeight w:val="410" w:hRule="atLeast"/>
          <w:jc w:val="center"/>
        </w:trPr>
        <w:tc>
          <w:tcPr>
            <w:tcW w:w="6480" w:type="dxa"/>
            <w:tcBorders>
              <w:top w:val="single" w:color="000000" w:sz="4" w:space="0"/>
              <w:left w:val="single" w:color="000000" w:sz="4" w:space="0"/>
              <w:bottom w:val="single" w:color="000000" w:sz="4" w:space="0"/>
              <w:right w:val="single" w:color="000000" w:sz="4" w:space="0"/>
            </w:tcBorders>
          </w:tcPr>
          <w:p>
            <w:pPr>
              <w:spacing w:after="0" w:line="240" w:lineRule="auto"/>
              <w:ind w:right="178"/>
              <w:jc w:val="center"/>
            </w:pPr>
            <w:r>
              <w:rPr>
                <w:rFonts w:ascii="微软雅黑" w:hAnsi="微软雅黑" w:eastAsia="微软雅黑" w:cs="微软雅黑"/>
                <w:sz w:val="24"/>
              </w:rPr>
              <w:t>具有硕士及以上学位教师数及比例</w:t>
            </w:r>
          </w:p>
        </w:tc>
        <w:tc>
          <w:tcPr>
            <w:tcW w:w="3060" w:type="dxa"/>
            <w:tcBorders>
              <w:top w:val="single" w:color="000000" w:sz="4" w:space="0"/>
              <w:left w:val="single" w:color="000000" w:sz="4" w:space="0"/>
              <w:bottom w:val="single" w:color="000000" w:sz="4" w:space="0"/>
              <w:right w:val="single" w:color="000000" w:sz="4" w:space="0"/>
            </w:tcBorders>
          </w:tcPr>
          <w:p>
            <w:pPr>
              <w:spacing w:after="0" w:line="240" w:lineRule="auto"/>
              <w:ind w:right="117"/>
              <w:jc w:val="center"/>
              <w:rPr>
                <w:rFonts w:ascii="Times New Roman" w:hAnsi="Times New Roman" w:eastAsia="宋体" w:cs="Times New Roman"/>
                <w:sz w:val="26"/>
                <w:szCs w:val="26"/>
              </w:rPr>
            </w:pPr>
            <w:r>
              <w:rPr>
                <w:rFonts w:ascii="Times New Roman" w:hAnsi="Times New Roman" w:eastAsia="宋体" w:cs="Times New Roman"/>
                <w:sz w:val="26"/>
                <w:szCs w:val="26"/>
              </w:rPr>
              <w:t>97%</w:t>
            </w:r>
          </w:p>
        </w:tc>
      </w:tr>
      <w:tr>
        <w:tblPrEx>
          <w:tblLayout w:type="fixed"/>
          <w:tblCellMar>
            <w:top w:w="110" w:type="dxa"/>
            <w:left w:w="293" w:type="dxa"/>
            <w:bottom w:w="0" w:type="dxa"/>
            <w:right w:w="115" w:type="dxa"/>
          </w:tblCellMar>
        </w:tblPrEx>
        <w:trPr>
          <w:trHeight w:val="563" w:hRule="atLeast"/>
          <w:jc w:val="center"/>
        </w:trPr>
        <w:tc>
          <w:tcPr>
            <w:tcW w:w="6480" w:type="dxa"/>
            <w:tcBorders>
              <w:top w:val="single" w:color="000000" w:sz="4" w:space="0"/>
              <w:left w:val="single" w:color="000000" w:sz="4" w:space="0"/>
              <w:bottom w:val="single" w:color="000000" w:sz="4" w:space="0"/>
              <w:right w:val="single" w:color="000000" w:sz="4" w:space="0"/>
            </w:tcBorders>
          </w:tcPr>
          <w:p>
            <w:pPr>
              <w:spacing w:after="0" w:line="240" w:lineRule="auto"/>
              <w:ind w:right="178"/>
              <w:jc w:val="center"/>
            </w:pPr>
            <w:r>
              <w:rPr>
                <w:rFonts w:ascii="微软雅黑" w:hAnsi="微软雅黑" w:eastAsia="微软雅黑" w:cs="微软雅黑"/>
                <w:sz w:val="24"/>
              </w:rPr>
              <w:t>具有博士学位教师数及比例</w:t>
            </w:r>
          </w:p>
        </w:tc>
        <w:tc>
          <w:tcPr>
            <w:tcW w:w="3060" w:type="dxa"/>
            <w:tcBorders>
              <w:top w:val="single" w:color="000000" w:sz="4" w:space="0"/>
              <w:left w:val="single" w:color="000000" w:sz="4" w:space="0"/>
              <w:bottom w:val="single" w:color="000000" w:sz="4" w:space="0"/>
              <w:right w:val="single" w:color="000000" w:sz="4" w:space="0"/>
            </w:tcBorders>
          </w:tcPr>
          <w:p>
            <w:pPr>
              <w:spacing w:after="0" w:line="240" w:lineRule="auto"/>
              <w:ind w:right="117"/>
              <w:jc w:val="center"/>
              <w:rPr>
                <w:rFonts w:ascii="Times New Roman" w:hAnsi="Times New Roman" w:eastAsia="宋体" w:cs="Times New Roman"/>
                <w:sz w:val="26"/>
                <w:szCs w:val="26"/>
              </w:rPr>
            </w:pPr>
            <w:r>
              <w:rPr>
                <w:rFonts w:ascii="Times New Roman" w:hAnsi="Times New Roman" w:eastAsia="宋体" w:cs="Times New Roman"/>
                <w:sz w:val="26"/>
                <w:szCs w:val="26"/>
              </w:rPr>
              <w:t>70%</w:t>
            </w:r>
          </w:p>
        </w:tc>
      </w:tr>
      <w:tr>
        <w:tblPrEx>
          <w:tblLayout w:type="fixed"/>
          <w:tblCellMar>
            <w:top w:w="110" w:type="dxa"/>
            <w:left w:w="293" w:type="dxa"/>
            <w:bottom w:w="0" w:type="dxa"/>
            <w:right w:w="115" w:type="dxa"/>
          </w:tblCellMar>
        </w:tblPrEx>
        <w:trPr>
          <w:trHeight w:val="410" w:hRule="atLeast"/>
          <w:jc w:val="center"/>
        </w:trPr>
        <w:tc>
          <w:tcPr>
            <w:tcW w:w="6480" w:type="dxa"/>
            <w:tcBorders>
              <w:top w:val="single" w:color="000000" w:sz="4" w:space="0"/>
              <w:left w:val="single" w:color="000000" w:sz="4" w:space="0"/>
              <w:bottom w:val="single" w:color="000000" w:sz="4" w:space="0"/>
              <w:right w:val="single" w:color="000000" w:sz="4" w:space="0"/>
            </w:tcBorders>
          </w:tcPr>
          <w:p>
            <w:pPr>
              <w:spacing w:after="0" w:line="240" w:lineRule="auto"/>
              <w:ind w:right="180"/>
              <w:jc w:val="center"/>
            </w:pPr>
            <w:r>
              <w:rPr>
                <w:rFonts w:ascii="Times New Roman" w:hAnsi="Times New Roman" w:eastAsia="Times New Roman" w:cs="Times New Roman"/>
                <w:sz w:val="24"/>
              </w:rPr>
              <w:t xml:space="preserve">35 </w:t>
            </w:r>
            <w:r>
              <w:rPr>
                <w:rFonts w:ascii="微软雅黑" w:hAnsi="微软雅黑" w:eastAsia="微软雅黑" w:cs="微软雅黑"/>
                <w:sz w:val="24"/>
              </w:rPr>
              <w:t>岁及以下青年教师数及比例</w:t>
            </w:r>
          </w:p>
        </w:tc>
        <w:tc>
          <w:tcPr>
            <w:tcW w:w="3060" w:type="dxa"/>
            <w:tcBorders>
              <w:top w:val="single" w:color="000000" w:sz="4" w:space="0"/>
              <w:left w:val="single" w:color="000000" w:sz="4" w:space="0"/>
              <w:bottom w:val="single" w:color="000000" w:sz="4" w:space="0"/>
              <w:right w:val="single" w:color="000000" w:sz="4" w:space="0"/>
            </w:tcBorders>
          </w:tcPr>
          <w:p>
            <w:pPr>
              <w:spacing w:after="0" w:line="240" w:lineRule="auto"/>
              <w:ind w:right="117"/>
              <w:jc w:val="center"/>
              <w:rPr>
                <w:rFonts w:ascii="Times New Roman" w:hAnsi="Times New Roman" w:eastAsia="宋体" w:cs="Times New Roman"/>
                <w:sz w:val="26"/>
                <w:szCs w:val="26"/>
              </w:rPr>
            </w:pPr>
            <w:r>
              <w:rPr>
                <w:rFonts w:ascii="Times New Roman" w:hAnsi="Times New Roman" w:eastAsia="宋体" w:cs="Times New Roman"/>
                <w:sz w:val="26"/>
                <w:szCs w:val="26"/>
              </w:rPr>
              <w:t>23%</w:t>
            </w:r>
          </w:p>
        </w:tc>
      </w:tr>
      <w:tr>
        <w:tblPrEx>
          <w:tblLayout w:type="fixed"/>
          <w:tblCellMar>
            <w:top w:w="110" w:type="dxa"/>
            <w:left w:w="293" w:type="dxa"/>
            <w:bottom w:w="0" w:type="dxa"/>
            <w:right w:w="115" w:type="dxa"/>
          </w:tblCellMar>
        </w:tblPrEx>
        <w:trPr>
          <w:trHeight w:val="409" w:hRule="atLeast"/>
          <w:jc w:val="center"/>
        </w:trPr>
        <w:tc>
          <w:tcPr>
            <w:tcW w:w="6480" w:type="dxa"/>
            <w:tcBorders>
              <w:top w:val="single" w:color="000000" w:sz="4" w:space="0"/>
              <w:left w:val="single" w:color="000000" w:sz="4" w:space="0"/>
              <w:bottom w:val="single" w:color="000000" w:sz="4" w:space="0"/>
              <w:right w:val="single" w:color="000000" w:sz="4" w:space="0"/>
            </w:tcBorders>
          </w:tcPr>
          <w:p>
            <w:pPr>
              <w:spacing w:after="0" w:line="240" w:lineRule="auto"/>
              <w:ind w:right="178"/>
              <w:jc w:val="center"/>
            </w:pPr>
            <w:r>
              <w:rPr>
                <w:rFonts w:ascii="Times New Roman" w:hAnsi="Times New Roman" w:eastAsia="Times New Roman" w:cs="Times New Roman"/>
                <w:sz w:val="24"/>
              </w:rPr>
              <w:t xml:space="preserve">36-55 </w:t>
            </w:r>
            <w:r>
              <w:rPr>
                <w:rFonts w:ascii="微软雅黑" w:hAnsi="微软雅黑" w:eastAsia="微软雅黑" w:cs="微软雅黑"/>
                <w:sz w:val="24"/>
              </w:rPr>
              <w:t>岁教师数及比例</w:t>
            </w:r>
          </w:p>
        </w:tc>
        <w:tc>
          <w:tcPr>
            <w:tcW w:w="3060" w:type="dxa"/>
            <w:tcBorders>
              <w:top w:val="single" w:color="000000" w:sz="4" w:space="0"/>
              <w:left w:val="single" w:color="000000" w:sz="4" w:space="0"/>
              <w:bottom w:val="single" w:color="000000" w:sz="4" w:space="0"/>
              <w:right w:val="single" w:color="000000" w:sz="4" w:space="0"/>
            </w:tcBorders>
          </w:tcPr>
          <w:p>
            <w:pPr>
              <w:spacing w:after="0" w:line="240" w:lineRule="auto"/>
              <w:ind w:right="117"/>
              <w:jc w:val="center"/>
              <w:rPr>
                <w:rFonts w:ascii="Times New Roman" w:hAnsi="Times New Roman" w:eastAsia="宋体" w:cs="Times New Roman"/>
                <w:sz w:val="26"/>
                <w:szCs w:val="26"/>
              </w:rPr>
            </w:pPr>
            <w:r>
              <w:rPr>
                <w:rFonts w:ascii="Times New Roman" w:hAnsi="Times New Roman" w:eastAsia="宋体" w:cs="Times New Roman"/>
                <w:sz w:val="26"/>
                <w:szCs w:val="26"/>
              </w:rPr>
              <w:t>68%</w:t>
            </w:r>
          </w:p>
        </w:tc>
      </w:tr>
      <w:tr>
        <w:tblPrEx>
          <w:tblLayout w:type="fixed"/>
          <w:tblCellMar>
            <w:top w:w="110" w:type="dxa"/>
            <w:left w:w="293" w:type="dxa"/>
            <w:bottom w:w="0" w:type="dxa"/>
            <w:right w:w="115" w:type="dxa"/>
          </w:tblCellMar>
        </w:tblPrEx>
        <w:trPr>
          <w:trHeight w:val="410" w:hRule="atLeast"/>
          <w:jc w:val="center"/>
        </w:trPr>
        <w:tc>
          <w:tcPr>
            <w:tcW w:w="6480" w:type="dxa"/>
            <w:tcBorders>
              <w:top w:val="single" w:color="000000" w:sz="4" w:space="0"/>
              <w:left w:val="single" w:color="000000" w:sz="4" w:space="0"/>
              <w:bottom w:val="single" w:color="000000" w:sz="4" w:space="0"/>
              <w:right w:val="single" w:color="000000" w:sz="4" w:space="0"/>
            </w:tcBorders>
          </w:tcPr>
          <w:p>
            <w:pPr>
              <w:spacing w:after="0" w:line="240" w:lineRule="auto"/>
              <w:ind w:right="178"/>
              <w:jc w:val="center"/>
            </w:pPr>
            <w:r>
              <w:rPr>
                <w:rFonts w:ascii="微软雅黑" w:hAnsi="微软雅黑" w:eastAsia="微软雅黑" w:cs="微软雅黑"/>
                <w:sz w:val="24"/>
              </w:rPr>
              <w:t>兼职</w:t>
            </w:r>
            <w:r>
              <w:rPr>
                <w:rFonts w:ascii="Times New Roman" w:hAnsi="Times New Roman" w:eastAsia="Times New Roman" w:cs="Times New Roman"/>
                <w:sz w:val="24"/>
              </w:rPr>
              <w:t>/</w:t>
            </w:r>
            <w:r>
              <w:rPr>
                <w:rFonts w:ascii="微软雅黑" w:hAnsi="微软雅黑" w:eastAsia="微软雅黑" w:cs="微软雅黑"/>
                <w:sz w:val="24"/>
              </w:rPr>
              <w:t>专职教师比例</w:t>
            </w:r>
          </w:p>
        </w:tc>
        <w:tc>
          <w:tcPr>
            <w:tcW w:w="3060" w:type="dxa"/>
            <w:tcBorders>
              <w:top w:val="single" w:color="000000" w:sz="4" w:space="0"/>
              <w:left w:val="single" w:color="000000" w:sz="4" w:space="0"/>
              <w:bottom w:val="single" w:color="000000" w:sz="4" w:space="0"/>
              <w:right w:val="single" w:color="000000" w:sz="4" w:space="0"/>
            </w:tcBorders>
          </w:tcPr>
          <w:p>
            <w:pPr>
              <w:spacing w:after="0" w:line="240" w:lineRule="auto"/>
              <w:ind w:right="117"/>
              <w:jc w:val="center"/>
              <w:rPr>
                <w:rFonts w:ascii="Times New Roman" w:hAnsi="Times New Roman" w:eastAsia="宋体" w:cs="Times New Roman"/>
                <w:sz w:val="26"/>
                <w:szCs w:val="26"/>
              </w:rPr>
            </w:pPr>
            <w:r>
              <w:rPr>
                <w:rFonts w:ascii="Times New Roman" w:hAnsi="Times New Roman" w:eastAsia="宋体" w:cs="Times New Roman"/>
                <w:sz w:val="26"/>
                <w:szCs w:val="26"/>
              </w:rPr>
              <w:t>100%</w:t>
            </w:r>
          </w:p>
        </w:tc>
      </w:tr>
      <w:tr>
        <w:tblPrEx>
          <w:tblLayout w:type="fixed"/>
          <w:tblCellMar>
            <w:top w:w="110" w:type="dxa"/>
            <w:left w:w="293" w:type="dxa"/>
            <w:bottom w:w="0" w:type="dxa"/>
            <w:right w:w="115" w:type="dxa"/>
          </w:tblCellMar>
        </w:tblPrEx>
        <w:trPr>
          <w:trHeight w:val="410" w:hRule="atLeast"/>
          <w:jc w:val="center"/>
        </w:trPr>
        <w:tc>
          <w:tcPr>
            <w:tcW w:w="6480" w:type="dxa"/>
            <w:tcBorders>
              <w:top w:val="single" w:color="000000" w:sz="4" w:space="0"/>
              <w:left w:val="single" w:color="000000" w:sz="4" w:space="0"/>
              <w:bottom w:val="single" w:color="000000" w:sz="4" w:space="0"/>
              <w:right w:val="single" w:color="000000" w:sz="4" w:space="0"/>
            </w:tcBorders>
          </w:tcPr>
          <w:p>
            <w:pPr>
              <w:spacing w:after="0" w:line="240" w:lineRule="auto"/>
              <w:ind w:right="179"/>
              <w:jc w:val="center"/>
            </w:pPr>
            <w:r>
              <w:rPr>
                <w:rFonts w:ascii="微软雅黑" w:hAnsi="微软雅黑" w:eastAsia="微软雅黑" w:cs="微软雅黑"/>
                <w:sz w:val="24"/>
              </w:rPr>
              <w:t>专业核心课程门数</w:t>
            </w:r>
          </w:p>
        </w:tc>
        <w:tc>
          <w:tcPr>
            <w:tcW w:w="3060" w:type="dxa"/>
            <w:tcBorders>
              <w:top w:val="single" w:color="000000" w:sz="4" w:space="0"/>
              <w:left w:val="single" w:color="000000" w:sz="4" w:space="0"/>
              <w:bottom w:val="single" w:color="000000" w:sz="4" w:space="0"/>
              <w:right w:val="single" w:color="000000" w:sz="4" w:space="0"/>
            </w:tcBorders>
          </w:tcPr>
          <w:p>
            <w:pPr>
              <w:spacing w:after="0" w:line="240" w:lineRule="auto"/>
              <w:ind w:right="117"/>
              <w:jc w:val="center"/>
              <w:rPr>
                <w:rFonts w:eastAsia="宋体"/>
              </w:rPr>
            </w:pPr>
            <w:r>
              <w:rPr>
                <w:rFonts w:hint="eastAsia" w:ascii="Times New Roman" w:hAnsi="Times New Roman" w:eastAsia="宋体" w:cs="Times New Roman"/>
                <w:sz w:val="26"/>
                <w:szCs w:val="26"/>
              </w:rPr>
              <w:t>26</w:t>
            </w:r>
          </w:p>
        </w:tc>
      </w:tr>
      <w:tr>
        <w:tblPrEx>
          <w:tblLayout w:type="fixed"/>
          <w:tblCellMar>
            <w:top w:w="110" w:type="dxa"/>
            <w:left w:w="293" w:type="dxa"/>
            <w:bottom w:w="0" w:type="dxa"/>
            <w:right w:w="115" w:type="dxa"/>
          </w:tblCellMar>
        </w:tblPrEx>
        <w:trPr>
          <w:trHeight w:val="410" w:hRule="atLeast"/>
          <w:jc w:val="center"/>
        </w:trPr>
        <w:tc>
          <w:tcPr>
            <w:tcW w:w="6480" w:type="dxa"/>
            <w:tcBorders>
              <w:top w:val="single" w:color="000000" w:sz="4" w:space="0"/>
              <w:left w:val="single" w:color="000000" w:sz="4" w:space="0"/>
              <w:bottom w:val="single" w:color="000000" w:sz="4" w:space="0"/>
              <w:right w:val="single" w:color="000000" w:sz="4" w:space="0"/>
            </w:tcBorders>
          </w:tcPr>
          <w:p>
            <w:pPr>
              <w:spacing w:after="0" w:line="240" w:lineRule="auto"/>
              <w:ind w:right="178"/>
              <w:jc w:val="center"/>
            </w:pPr>
            <w:r>
              <w:rPr>
                <w:rFonts w:ascii="微软雅黑" w:hAnsi="微软雅黑" w:eastAsia="微软雅黑" w:cs="微软雅黑"/>
                <w:sz w:val="24"/>
              </w:rPr>
              <w:t>专业核心课程任课教师数（此项由学校填写）</w:t>
            </w:r>
          </w:p>
        </w:tc>
        <w:tc>
          <w:tcPr>
            <w:tcW w:w="3060" w:type="dxa"/>
            <w:tcBorders>
              <w:top w:val="single" w:color="000000" w:sz="4" w:space="0"/>
              <w:left w:val="single" w:color="000000" w:sz="4" w:space="0"/>
              <w:bottom w:val="single" w:color="000000" w:sz="4" w:space="0"/>
              <w:right w:val="single" w:color="000000" w:sz="4" w:space="0"/>
            </w:tcBorders>
          </w:tcPr>
          <w:p>
            <w:pPr>
              <w:spacing w:after="0" w:line="240" w:lineRule="auto"/>
              <w:ind w:right="117"/>
              <w:jc w:val="center"/>
              <w:rPr>
                <w:rFonts w:eastAsia="宋体"/>
              </w:rPr>
            </w:pPr>
            <w:r>
              <w:rPr>
                <w:rFonts w:hint="eastAsia" w:ascii="Times New Roman" w:hAnsi="Times New Roman" w:eastAsia="宋体" w:cs="Times New Roman"/>
                <w:sz w:val="26"/>
                <w:szCs w:val="26"/>
              </w:rPr>
              <w:t>155</w:t>
            </w:r>
          </w:p>
        </w:tc>
      </w:tr>
    </w:tbl>
    <w:p>
      <w:pPr>
        <w:spacing w:after="0"/>
        <w:ind w:left="450" w:hanging="10"/>
        <w:rPr>
          <w:rFonts w:ascii="微软雅黑" w:hAnsi="微软雅黑" w:eastAsia="微软雅黑" w:cs="微软雅黑"/>
          <w:sz w:val="28"/>
        </w:rPr>
      </w:pPr>
    </w:p>
    <w:p>
      <w:pPr>
        <w:spacing w:after="0"/>
        <w:ind w:left="450" w:hanging="10"/>
        <w:rPr>
          <w:rFonts w:eastAsia="微软雅黑"/>
        </w:rPr>
      </w:pPr>
      <w:r>
        <w:rPr>
          <w:rFonts w:ascii="微软雅黑" w:hAnsi="微软雅黑" w:eastAsia="微软雅黑" w:cs="微软雅黑"/>
          <w:sz w:val="28"/>
        </w:rPr>
        <w:t>4.2教师基本情况表</w:t>
      </w:r>
      <w:r>
        <w:rPr>
          <w:rFonts w:ascii="微软雅黑" w:hAnsi="微软雅黑" w:eastAsia="微软雅黑" w:cs="微软雅黑"/>
          <w:sz w:val="24"/>
        </w:rPr>
        <w:t>（以下表格数据由学校填写）</w:t>
      </w:r>
    </w:p>
    <w:tbl>
      <w:tblPr>
        <w:tblStyle w:val="16"/>
        <w:tblW w:w="9573" w:type="dxa"/>
        <w:jc w:val="center"/>
        <w:tblInd w:w="0" w:type="dxa"/>
        <w:tblLayout w:type="fixed"/>
        <w:tblCellMar>
          <w:top w:w="117" w:type="dxa"/>
          <w:left w:w="91" w:type="dxa"/>
          <w:bottom w:w="49" w:type="dxa"/>
          <w:right w:w="29" w:type="dxa"/>
        </w:tblCellMar>
      </w:tblPr>
      <w:tblGrid>
        <w:gridCol w:w="970"/>
        <w:gridCol w:w="467"/>
        <w:gridCol w:w="718"/>
        <w:gridCol w:w="1170"/>
        <w:gridCol w:w="961"/>
        <w:gridCol w:w="1262"/>
        <w:gridCol w:w="1238"/>
        <w:gridCol w:w="784"/>
        <w:gridCol w:w="1327"/>
        <w:gridCol w:w="676"/>
      </w:tblGrid>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pPr>
            <w:r>
              <w:rPr>
                <w:rFonts w:ascii="微软雅黑" w:hAnsi="微软雅黑" w:eastAsia="微软雅黑" w:cs="微软雅黑"/>
                <w:sz w:val="24"/>
              </w:rPr>
              <w:t>姓名</w:t>
            </w:r>
            <w:r>
              <w:rPr>
                <w:rFonts w:ascii="Times New Roman" w:hAnsi="Times New Roman" w:eastAsia="Times New Roman" w:cs="Times New Roman"/>
                <w:sz w:val="24"/>
              </w:rPr>
              <w:t xml:space="preserve"> </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pPr>
            <w:r>
              <w:rPr>
                <w:rFonts w:ascii="微软雅黑" w:hAnsi="微软雅黑" w:eastAsia="微软雅黑" w:cs="微软雅黑"/>
                <w:sz w:val="24"/>
              </w:rPr>
              <w:t>性别</w:t>
            </w:r>
            <w:r>
              <w:rPr>
                <w:rFonts w:ascii="Times New Roman" w:hAnsi="Times New Roman" w:eastAsia="Times New Roman" w:cs="Times New Roman"/>
                <w:sz w:val="24"/>
              </w:rPr>
              <w:t xml:space="preserve"> </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出生年月</w:t>
            </w:r>
            <w:r>
              <w:rPr>
                <w:rFonts w:ascii="Times New Roman" w:hAnsi="Times New Roman" w:eastAsia="Times New Roman" w:cs="Times New Roman"/>
                <w:sz w:val="24"/>
              </w:rPr>
              <w:t xml:space="preserve"> </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拟授课程</w:t>
            </w:r>
            <w:r>
              <w:rPr>
                <w:rFonts w:ascii="Times New Roman" w:hAnsi="Times New Roman" w:eastAsia="Times New Roman" w:cs="Times New Roman"/>
                <w:sz w:val="24"/>
              </w:rPr>
              <w:t xml:space="preserve"> </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专业技术职务</w:t>
            </w:r>
            <w:r>
              <w:rPr>
                <w:rFonts w:ascii="Times New Roman" w:hAnsi="Times New Roman" w:eastAsia="Times New Roman" w:cs="Times New Roman"/>
                <w:sz w:val="24"/>
              </w:rPr>
              <w:t xml:space="preserve"> </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最后学历毕业学校</w:t>
            </w:r>
            <w:r>
              <w:rPr>
                <w:rFonts w:ascii="Times New Roman" w:hAnsi="Times New Roman" w:eastAsia="Times New Roman" w:cs="Times New Roman"/>
                <w:sz w:val="24"/>
              </w:rPr>
              <w:t xml:space="preserve"> </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最后学历毕业专业</w:t>
            </w:r>
            <w:r>
              <w:rPr>
                <w:rFonts w:ascii="Times New Roman" w:hAnsi="Times New Roman" w:eastAsia="Times New Roman" w:cs="Times New Roman"/>
                <w:sz w:val="24"/>
              </w:rPr>
              <w:t xml:space="preserve"> </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最后学历毕业学位</w:t>
            </w:r>
            <w:r>
              <w:rPr>
                <w:rFonts w:ascii="Times New Roman" w:hAnsi="Times New Roman" w:eastAsia="Times New Roman" w:cs="Times New Roman"/>
                <w:sz w:val="24"/>
              </w:rPr>
              <w:t xml:space="preserve"> </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研究领域</w:t>
            </w:r>
            <w:r>
              <w:rPr>
                <w:rFonts w:ascii="Times New Roman" w:hAnsi="Times New Roman" w:eastAsia="Times New Roman" w:cs="Times New Roman"/>
                <w:sz w:val="24"/>
              </w:rPr>
              <w:t xml:space="preserve"> </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专职</w:t>
            </w:r>
            <w:r>
              <w:rPr>
                <w:rFonts w:ascii="Times New Roman" w:hAnsi="Times New Roman" w:eastAsia="Times New Roman" w:cs="Times New Roman"/>
                <w:sz w:val="24"/>
              </w:rPr>
              <w:t xml:space="preserve"> /</w:t>
            </w:r>
            <w:r>
              <w:rPr>
                <w:rFonts w:ascii="微软雅黑" w:hAnsi="微软雅黑" w:eastAsia="微软雅黑" w:cs="微软雅黑"/>
                <w:sz w:val="24"/>
              </w:rPr>
              <w:t>兼职</w:t>
            </w:r>
            <w:r>
              <w:rPr>
                <w:rFonts w:ascii="Times New Roman" w:hAnsi="Times New Roman" w:eastAsia="Times New Roman" w:cs="Times New Roman"/>
                <w:sz w:val="24"/>
              </w:rPr>
              <w:t xml:space="preserve"> </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Times New Roman" w:hAnsi="Times New Roman" w:eastAsia="Times New Roman" w:cs="Times New Roman"/>
                <w:szCs w:val="21"/>
              </w:rPr>
            </w:pPr>
            <w:bookmarkStart w:id="0" w:name="_GoBack"/>
            <w:r>
              <w:rPr>
                <w:rFonts w:ascii="Times New Roman" w:hAnsi="Times New Roman" w:eastAsia="Times New Roman" w:cs="Times New Roman"/>
                <w:sz w:val="18"/>
                <w:szCs w:val="16"/>
              </w:rPr>
              <w:t>Giulia</w:t>
            </w:r>
            <w:bookmarkEnd w:id="0"/>
            <w:r>
              <w:rPr>
                <w:rFonts w:ascii="Times New Roman" w:hAnsi="Times New Roman" w:eastAsia="Times New Roman" w:cs="Times New Roman"/>
                <w:sz w:val="18"/>
                <w:szCs w:val="16"/>
              </w:rPr>
              <w:t xml:space="preserve"> De Falco</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ascii="Times New Roman" w:hAnsi="Times New Roman" w:eastAsia="仿宋" w:cs="Times New Roman"/>
                <w:sz w:val="26"/>
                <w:szCs w:val="26"/>
              </w:rPr>
              <w:t>1969.12</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病理学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意大利锡耶纳大学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分子病理学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分子病理学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0"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Times New Roman" w:hAnsi="Times New Roman" w:eastAsia="Times New Roman" w:cs="Times New Roman"/>
                <w:sz w:val="18"/>
                <w:szCs w:val="16"/>
              </w:rPr>
            </w:pPr>
            <w:r>
              <w:rPr>
                <w:rFonts w:ascii="Times New Roman" w:hAnsi="Times New Roman" w:eastAsia="Times New Roman" w:cs="Times New Roman"/>
                <w:sz w:val="18"/>
                <w:szCs w:val="16"/>
              </w:rPr>
              <w:t>Shane Wilkinson</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Times New Roman" w:hAnsi="Times New Roman" w:eastAsia="仿宋" w:cs="Times New Roman"/>
                <w:sz w:val="26"/>
                <w:szCs w:val="26"/>
              </w:rPr>
              <w:t>1983.06</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分子临床微生物</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阿伯瑞特威斯大学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微生物学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抗锥虫寄生虫的化疗研发</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0"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微软雅黑" w:hAnsi="微软雅黑" w:eastAsia="微软雅黑" w:cs="微软雅黑"/>
                <w:szCs w:val="21"/>
              </w:rPr>
            </w:pPr>
            <w:r>
              <w:rPr>
                <w:rFonts w:ascii="Times New Roman" w:hAnsi="Times New Roman" w:eastAsia="Times New Roman" w:cs="Times New Roman"/>
                <w:sz w:val="18"/>
                <w:szCs w:val="16"/>
              </w:rPr>
              <w:t>Maria Isabel Palacios De Castro</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ascii="Times New Roman" w:hAnsi="Times New Roman" w:eastAsia="仿宋" w:cs="Times New Roman"/>
                <w:sz w:val="26"/>
                <w:szCs w:val="26"/>
              </w:rPr>
              <w:t>1969.11</w:t>
            </w:r>
          </w:p>
          <w:p>
            <w:pPr>
              <w:spacing w:after="0" w:line="240" w:lineRule="auto"/>
              <w:ind w:right="4"/>
              <w:jc w:val="center"/>
              <w:rPr>
                <w:rFonts w:ascii="仿宋" w:hAnsi="仿宋" w:eastAsia="仿宋" w:cs="仿宋"/>
                <w:sz w:val="24"/>
                <w:szCs w:val="24"/>
              </w:rPr>
            </w:pP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人体细胞</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德国欧洲分子生物学实验室</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基因组学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基因组学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15"/>
                <w:szCs w:val="13"/>
              </w:rPr>
            </w:pPr>
            <w:r>
              <w:rPr>
                <w:rFonts w:hint="eastAsia" w:ascii="Times New Roman" w:hAnsi="Times New Roman" w:eastAsia="Times New Roman" w:cs="Times New Roman"/>
                <w:sz w:val="18"/>
                <w:szCs w:val="16"/>
              </w:rPr>
              <w:t>Detina  Zalli</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ascii="Times New Roman" w:hAnsi="Times New Roman" w:eastAsia="仿宋" w:cs="Times New Roman"/>
                <w:sz w:val="26"/>
                <w:szCs w:val="26"/>
              </w:rPr>
              <w:t>1986.02</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人体细胞</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美国哈佛牙医学院</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牙医</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软骨疾病</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微软雅黑" w:hAnsi="微软雅黑" w:eastAsia="微软雅黑" w:cs="微软雅黑"/>
                <w:szCs w:val="21"/>
              </w:rPr>
            </w:pPr>
            <w:r>
              <w:rPr>
                <w:rFonts w:hint="eastAsia" w:ascii="Times New Roman" w:hAnsi="Times New Roman" w:eastAsia="Times New Roman" w:cs="Times New Roman"/>
                <w:sz w:val="18"/>
                <w:szCs w:val="16"/>
              </w:rPr>
              <w:t>Mark Kristen Macono</w:t>
            </w:r>
            <w:r>
              <w:rPr>
                <w:rFonts w:hint="eastAsia" w:ascii="Times New Roman" w:hAnsi="Times New Roman" w:eastAsia="宋体" w:cs="Times New Roman"/>
                <w:sz w:val="18"/>
                <w:szCs w:val="16"/>
              </w:rPr>
              <w:t>-</w:t>
            </w:r>
            <w:r>
              <w:rPr>
                <w:rFonts w:hint="eastAsia" w:ascii="Times New Roman" w:hAnsi="Times New Roman" w:eastAsia="Times New Roman" w:cs="Times New Roman"/>
                <w:sz w:val="18"/>
                <w:szCs w:val="16"/>
              </w:rPr>
              <w:t>chie</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ascii="Times New Roman" w:hAnsi="Times New Roman" w:eastAsia="仿宋" w:cs="Times New Roman"/>
                <w:sz w:val="26"/>
                <w:szCs w:val="26"/>
              </w:rPr>
              <w:t>1963.07</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人体细胞</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英国苏塞克斯大学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分子基因组学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耳鼻喉科学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宋体" w:cs="Times New Roman"/>
                <w:sz w:val="18"/>
                <w:szCs w:val="16"/>
              </w:rPr>
            </w:pPr>
            <w:r>
              <w:rPr>
                <w:rFonts w:hint="eastAsia" w:ascii="Times New Roman" w:hAnsi="Times New Roman" w:eastAsia="Times New Roman" w:cs="Times New Roman"/>
                <w:sz w:val="18"/>
                <w:szCs w:val="16"/>
              </w:rPr>
              <w:t>Carles Gaston Massuet</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Times New Roman" w:hAnsi="Times New Roman" w:eastAsia="仿宋" w:cs="Times New Roman"/>
                <w:sz w:val="26"/>
                <w:szCs w:val="26"/>
              </w:rPr>
              <w:t>1971.03</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人体细胞</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伦敦大学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发育基因组学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儿童先天性下丘脑-垂体轴异常的遗传基础</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18"/>
                <w:szCs w:val="16"/>
              </w:rPr>
            </w:pPr>
            <w:r>
              <w:rPr>
                <w:rFonts w:ascii="Times New Roman" w:hAnsi="Times New Roman" w:eastAsia="Times New Roman" w:cs="Times New Roman"/>
                <w:sz w:val="18"/>
                <w:szCs w:val="16"/>
              </w:rPr>
              <w:t>Kok Choi   Kong</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ascii="Times New Roman" w:hAnsi="Times New Roman" w:eastAsia="仿宋" w:cs="Times New Roman"/>
                <w:sz w:val="26"/>
                <w:szCs w:val="26"/>
              </w:rPr>
              <w:t>1977.12</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人体解剖学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英国斯特拉斯克莱德大学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生理学与药理学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药理学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18"/>
                <w:szCs w:val="16"/>
              </w:rPr>
            </w:pPr>
            <w:r>
              <w:rPr>
                <w:rFonts w:ascii="Times New Roman" w:hAnsi="Times New Roman" w:eastAsia="Times New Roman" w:cs="Times New Roman"/>
                <w:sz w:val="18"/>
                <w:szCs w:val="16"/>
              </w:rPr>
              <w:t>Steve Le Comber</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Times New Roman" w:hAnsi="Times New Roman" w:eastAsia="仿宋" w:cs="Times New Roman"/>
                <w:sz w:val="26"/>
                <w:szCs w:val="26"/>
              </w:rPr>
              <w:t>1979.02</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人体解剖学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玛丽女王大学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分子病理学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毒瘾和痴呆</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ascii="Times New Roman" w:hAnsi="Times New Roman" w:eastAsia="Times New Roman" w:cs="Times New Roman"/>
                <w:sz w:val="18"/>
                <w:szCs w:val="16"/>
              </w:rPr>
              <w:t>John Viles</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Times New Roman" w:hAnsi="Times New Roman" w:eastAsia="仿宋" w:cs="Times New Roman"/>
                <w:sz w:val="26"/>
                <w:szCs w:val="26"/>
              </w:rPr>
              <w:t>1981.09</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生命生物分子</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伦敦大学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生物化学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神经退行性疾病中的蛋白质折叠错误</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宋体" w:cs="Times New Roman"/>
                <w:sz w:val="18"/>
                <w:szCs w:val="16"/>
              </w:rPr>
              <w:t>Li Jiejing</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ascii="Times New Roman" w:hAnsi="Times New Roman" w:eastAsia="仿宋" w:cs="Times New Roman"/>
                <w:sz w:val="26"/>
                <w:szCs w:val="26"/>
              </w:rPr>
              <w:t>1979</w:t>
            </w:r>
            <w:r>
              <w:rPr>
                <w:rFonts w:hint="eastAsia" w:ascii="Times New Roman" w:hAnsi="Times New Roman" w:eastAsia="仿宋" w:cs="Times New Roman"/>
                <w:sz w:val="26"/>
                <w:szCs w:val="26"/>
              </w:rPr>
              <w:t>.05</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基础和应用药理学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英国莱斯特大学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药理学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药理学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宋体" w:cs="Times New Roman"/>
                <w:sz w:val="18"/>
                <w:szCs w:val="16"/>
              </w:rPr>
              <w:t>Marina Resmini</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Times New Roman" w:hAnsi="Times New Roman" w:eastAsia="仿宋" w:cs="Times New Roman"/>
                <w:sz w:val="26"/>
                <w:szCs w:val="26"/>
              </w:rPr>
              <w:t>1966.03</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基础和应用药理学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意大利米兰大学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化学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新型功能纳米材料的开发</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ascii="Times New Roman" w:hAnsi="Times New Roman" w:eastAsia="Times New Roman" w:cs="Times New Roman"/>
                <w:sz w:val="18"/>
                <w:szCs w:val="16"/>
              </w:rPr>
              <w:t>Richard Philip Grose</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ascii="Times New Roman" w:hAnsi="Times New Roman" w:eastAsia="仿宋" w:cs="Times New Roman"/>
                <w:sz w:val="26"/>
                <w:szCs w:val="26"/>
              </w:rPr>
              <w:t>1973.11</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癌症生物学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英国伦敦大学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细胞生物学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癌细胞信号通路</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微软雅黑" w:hAnsi="微软雅黑" w:eastAsia="微软雅黑" w:cs="微软雅黑"/>
                <w:sz w:val="24"/>
              </w:rPr>
            </w:pPr>
            <w:r>
              <w:rPr>
                <w:rFonts w:ascii="Times New Roman" w:hAnsi="Times New Roman" w:eastAsia="Times New Roman" w:cs="Times New Roman"/>
                <w:sz w:val="18"/>
                <w:szCs w:val="16"/>
              </w:rPr>
              <w:t>Laurent Alain Francois Frantz</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ascii="Times New Roman" w:hAnsi="Times New Roman" w:eastAsia="仿宋" w:cs="Times New Roman"/>
                <w:sz w:val="26"/>
                <w:szCs w:val="26"/>
              </w:rPr>
              <w:t>1985.12</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基因组和大数据在诊断和疾病中的应用</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 xml:space="preserve"> 荷兰瓦赫宁根大学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动物科学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生物信息学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18"/>
                <w:szCs w:val="16"/>
              </w:rPr>
              <w:t>Robert Keers</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Times New Roman" w:hAnsi="Times New Roman" w:eastAsia="仿宋" w:cs="Times New Roman"/>
                <w:sz w:val="26"/>
                <w:szCs w:val="26"/>
              </w:rPr>
              <w:t>1985.12</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基因组和大数据在诊断和疾病中的应用</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伦敦大学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分子与基因组学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研究影响焦虑和抑郁发展和治疗的基因和环境因素</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ascii="Times New Roman" w:hAnsi="Times New Roman" w:eastAsia="Times New Roman" w:cs="Times New Roman"/>
                <w:sz w:val="18"/>
                <w:szCs w:val="16"/>
              </w:rPr>
              <w:t>Matteo Palma</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Times New Roman" w:hAnsi="Times New Roman" w:eastAsia="仿宋" w:cs="Times New Roman"/>
                <w:sz w:val="26"/>
                <w:szCs w:val="26"/>
              </w:rPr>
              <w:t>1978.11</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生物工程和纳米技术</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法国斯特拉斯堡路易斯巴斯德大学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物理化学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研究具有单分子分辨率功能的纳米结构控制组装，如溶液中纳米分子的自然形成</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1078"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ascii="Times New Roman" w:hAnsi="Times New Roman" w:eastAsia="Times New Roman" w:cs="Times New Roman"/>
                <w:sz w:val="20"/>
                <w:szCs w:val="18"/>
              </w:rPr>
              <w:t>Rosemar</w:t>
            </w:r>
            <w:r>
              <w:rPr>
                <w:rFonts w:hint="eastAsia" w:ascii="Times New Roman" w:hAnsi="Times New Roman" w:eastAsia="宋体" w:cs="Times New Roman"/>
                <w:sz w:val="20"/>
                <w:szCs w:val="18"/>
              </w:rPr>
              <w:t>-</w:t>
            </w:r>
            <w:r>
              <w:rPr>
                <w:rFonts w:ascii="Times New Roman" w:hAnsi="Times New Roman" w:eastAsia="Times New Roman" w:cs="Times New Roman"/>
                <w:sz w:val="20"/>
                <w:szCs w:val="18"/>
              </w:rPr>
              <w:t>y Kathleen Clyne</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ascii="Times New Roman" w:hAnsi="Times New Roman" w:eastAsia="仿宋" w:cs="Times New Roman"/>
                <w:sz w:val="26"/>
                <w:szCs w:val="26"/>
              </w:rPr>
              <w:t>1969.08</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基础医学遗传学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美国霍普金斯医学院</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临床医学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生物&amp;生物化学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759"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Caudron Fabrice</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ascii="Times New Roman" w:hAnsi="Times New Roman" w:eastAsia="仿宋" w:cs="Times New Roman"/>
                <w:sz w:val="26"/>
                <w:szCs w:val="26"/>
              </w:rPr>
              <w:t>1979.09</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基础医学遗传学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英国格勒诺布大学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分子生物学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生物&amp;生物化学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759"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Caroline Brenan</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hint="eastAsia" w:ascii="Times New Roman" w:hAnsi="Times New Roman" w:eastAsia="仿宋" w:cs="Times New Roman"/>
                <w:sz w:val="26"/>
                <w:szCs w:val="26"/>
              </w:rPr>
              <w:t>1981.03</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基础医学遗传学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伦敦国王学院</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分子基因组学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分子机制控制行为，包括药物成瘾和痴呆</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759"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Angelika Stollewerk</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hint="eastAsia" w:ascii="Times New Roman" w:hAnsi="Times New Roman" w:eastAsia="仿宋" w:cs="Times New Roman"/>
                <w:sz w:val="26"/>
                <w:szCs w:val="26"/>
              </w:rPr>
              <w:t>1977.12</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细胞生物学和发育遗传学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伦敦国王学院</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进化发育生物学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神经系统的进化</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759"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ascii="Times New Roman" w:hAnsi="Times New Roman" w:eastAsia="Times New Roman" w:cs="Times New Roman"/>
                <w:sz w:val="20"/>
                <w:szCs w:val="18"/>
              </w:rPr>
              <w:t>Ryan Francis O'Shaughnessy</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ascii="Times New Roman" w:hAnsi="Times New Roman" w:eastAsia="仿宋" w:cs="Times New Roman"/>
                <w:sz w:val="26"/>
                <w:szCs w:val="26"/>
              </w:rPr>
              <w:t>1975.06</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生物工程和纳米技术</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伦敦大学癌症所</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基因组学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遗传学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759"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ascii="Times New Roman" w:hAnsi="Times New Roman" w:eastAsia="Times New Roman" w:cs="Times New Roman"/>
                <w:sz w:val="20"/>
                <w:szCs w:val="18"/>
              </w:rPr>
              <w:t>S</w:t>
            </w:r>
            <w:r>
              <w:rPr>
                <w:rFonts w:hint="eastAsia" w:ascii="Times New Roman" w:hAnsi="Times New Roman" w:eastAsia="Times New Roman" w:cs="Times New Roman"/>
                <w:sz w:val="20"/>
                <w:szCs w:val="18"/>
              </w:rPr>
              <w:t>abita</w:t>
            </w:r>
            <w:r>
              <w:rPr>
                <w:rFonts w:ascii="Times New Roman" w:hAnsi="Times New Roman" w:eastAsia="Times New Roman" w:cs="Times New Roman"/>
                <w:sz w:val="20"/>
                <w:szCs w:val="18"/>
              </w:rPr>
              <w:t xml:space="preserve"> R. M</w:t>
            </w:r>
            <w:r>
              <w:rPr>
                <w:rFonts w:hint="eastAsia" w:ascii="Times New Roman" w:hAnsi="Times New Roman" w:eastAsia="Times New Roman" w:cs="Times New Roman"/>
                <w:sz w:val="20"/>
                <w:szCs w:val="18"/>
              </w:rPr>
              <w:t>enon</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ascii="Times New Roman" w:hAnsi="Times New Roman" w:eastAsia="仿宋" w:cs="Times New Roman"/>
                <w:sz w:val="26"/>
                <w:szCs w:val="26"/>
              </w:rPr>
              <w:t>1965.04</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个人发展规划1/2/3/4</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印度孟买大学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神经生物学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神经生物学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759"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ascii="Times New Roman" w:hAnsi="Times New Roman" w:eastAsia="Times New Roman" w:cs="Times New Roman"/>
                <w:sz w:val="20"/>
                <w:szCs w:val="18"/>
              </w:rPr>
              <w:t>Dason Evans</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hint="eastAsia" w:ascii="Times New Roman" w:hAnsi="Times New Roman" w:eastAsia="仿宋" w:cs="Times New Roman"/>
                <w:sz w:val="26"/>
                <w:szCs w:val="26"/>
              </w:rPr>
              <w:t>1977.12</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学术及临床技能1/2</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荷兰马斯特里赫特</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临床医学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临床医学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759"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Thomas MacDon</w:t>
            </w:r>
            <w:r>
              <w:rPr>
                <w:rFonts w:hint="eastAsia" w:ascii="Times New Roman" w:hAnsi="Times New Roman" w:eastAsia="宋体" w:cs="Times New Roman"/>
                <w:sz w:val="20"/>
                <w:szCs w:val="18"/>
              </w:rPr>
              <w:t>-</w:t>
            </w:r>
            <w:r>
              <w:rPr>
                <w:rFonts w:hint="eastAsia" w:ascii="Times New Roman" w:hAnsi="Times New Roman" w:eastAsia="Times New Roman" w:cs="Times New Roman"/>
                <w:sz w:val="20"/>
                <w:szCs w:val="18"/>
              </w:rPr>
              <w:t>ald</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1951.01</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基础免疫学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英国格拉斯哥大学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免疫学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人体免疫学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759"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Daniel Pennington</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19</w:t>
            </w:r>
            <w:r>
              <w:rPr>
                <w:rFonts w:hint="eastAsia" w:ascii="Times New Roman" w:hAnsi="Times New Roman" w:eastAsia="仿宋" w:cs="Times New Roman"/>
                <w:sz w:val="26"/>
                <w:szCs w:val="26"/>
              </w:rPr>
              <w:t>72</w:t>
            </w:r>
            <w:r>
              <w:rPr>
                <w:rFonts w:ascii="Times New Roman" w:hAnsi="Times New Roman" w:eastAsia="仿宋" w:cs="Times New Roman"/>
                <w:sz w:val="26"/>
                <w:szCs w:val="26"/>
              </w:rPr>
              <w:t>.0</w:t>
            </w:r>
            <w:r>
              <w:rPr>
                <w:rFonts w:hint="eastAsia" w:ascii="Times New Roman" w:hAnsi="Times New Roman" w:eastAsia="仿宋" w:cs="Times New Roman"/>
                <w:sz w:val="26"/>
                <w:szCs w:val="26"/>
              </w:rPr>
              <w:t>8</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基础免疫学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英国格拉斯哥大学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免疫学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T细胞发育，胸腺和宿主对癌症的免疫反应</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759"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Ursula Melina Paredes</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ascii="Times New Roman" w:hAnsi="Times New Roman" w:eastAsia="仿宋" w:cs="Times New Roman"/>
                <w:sz w:val="26"/>
                <w:szCs w:val="26"/>
              </w:rPr>
              <w:t>1977.11</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神经生物学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英国利物浦大学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分子神经生物学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神经电生理</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759"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Maurice Elphick</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hint="eastAsia" w:ascii="Times New Roman" w:hAnsi="Times New Roman" w:eastAsia="仿宋" w:cs="Times New Roman"/>
                <w:sz w:val="26"/>
                <w:szCs w:val="26"/>
              </w:rPr>
              <w:t>1972.06</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神经生物学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英国玛丽女王大学</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生理与神经生物学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神经递质的进化和生理学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Benjami-n Stieglitz</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ascii="Times New Roman" w:hAnsi="Times New Roman" w:eastAsia="仿宋" w:cs="Times New Roman"/>
                <w:sz w:val="26"/>
                <w:szCs w:val="26"/>
              </w:rPr>
              <w:t>1972.08</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临床化学</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德国多特蒙德鲁尔-波鸿大学和马克斯-普朗克分子生理学研究所</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物理化学</w:t>
            </w:r>
          </w:p>
        </w:tc>
        <w:tc>
          <w:tcPr>
            <w:tcW w:w="78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生物化学</w:t>
            </w:r>
          </w:p>
        </w:tc>
        <w:tc>
          <w:tcPr>
            <w:tcW w:w="67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84"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p>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Mario Jose dos Reis Barros</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ascii="Times New Roman" w:hAnsi="Times New Roman" w:eastAsia="仿宋" w:cs="Times New Roman"/>
                <w:sz w:val="26"/>
                <w:szCs w:val="26"/>
              </w:rPr>
              <w:t>1975.09</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精准医学研究项目</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英国伯克贝克晶体学学院</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分子进化学</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遗传病学</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84"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Times New Roman" w:hAnsi="Times New Roman" w:eastAsia="Times New Roman" w:cs="Times New Roman"/>
                <w:sz w:val="20"/>
                <w:szCs w:val="18"/>
              </w:rPr>
              <w:t>Lesley Howell</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Times New Roman" w:hAnsi="Times New Roman" w:eastAsia="仿宋" w:cs="Times New Roman"/>
                <w:sz w:val="26"/>
                <w:szCs w:val="26"/>
              </w:rPr>
              <w:t>1969.09</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临床化学</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英国东英吉利亚大学</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化学</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蛋白质-蛋白质或DNA相互作用在开发新的药物靶点</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84"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Peter Thorpe</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hint="eastAsia" w:ascii="Times New Roman" w:hAnsi="Times New Roman" w:eastAsia="仿宋" w:cs="Times New Roman"/>
                <w:sz w:val="26"/>
                <w:szCs w:val="26"/>
              </w:rPr>
              <w:t>1974.09</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精准医学研究项目</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both"/>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英国爱丁堡大学</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细胞与分子生物学</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真核细胞分裂的分子调控</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84"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宋体" w:cs="Times New Roman"/>
                <w:sz w:val="20"/>
                <w:szCs w:val="18"/>
              </w:rPr>
              <w:t>Pior Paolo</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ascii="Times New Roman" w:hAnsi="Times New Roman" w:eastAsia="仿宋" w:cs="Times New Roman"/>
                <w:sz w:val="26"/>
                <w:szCs w:val="26"/>
              </w:rPr>
              <w:t>1973.02</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精准医学研究技术</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意大利博洛尼亚大学</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病理学</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人类基础免疫学与生物化学</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84"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宋体" w:cs="Times New Roman"/>
                <w:sz w:val="18"/>
                <w:szCs w:val="16"/>
              </w:rPr>
              <w:t>Aravindan Ilangovan</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60"/>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1984.01.</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精准医学研究技术</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英国诺丁汉大学</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结构生物学</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DNA的结构生物学和原核生物的复制</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84"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Stefan Georgi-ev Nonchev</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ascii="Times New Roman" w:hAnsi="Times New Roman" w:eastAsia="仿宋" w:cs="Times New Roman"/>
                <w:sz w:val="26"/>
                <w:szCs w:val="26"/>
              </w:rPr>
              <w:t>1950.11</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诊断与个性化医学教学</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美国塔夫斯大学</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发育基因组学</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遗传学、诊断学</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84"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Vidya Darbari</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hint="eastAsia" w:ascii="Times New Roman" w:hAnsi="Times New Roman" w:eastAsia="仿宋" w:cs="Times New Roman"/>
                <w:sz w:val="26"/>
                <w:szCs w:val="26"/>
              </w:rPr>
              <w:t>1969.07</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诊断与个性化医学教学</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剑桥大学</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生物化学</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慢性感染过程中膜蛋白的分子生物学</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84"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Peter McCormick</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ascii="Times New Roman" w:hAnsi="Times New Roman" w:eastAsia="仿宋" w:cs="Times New Roman"/>
                <w:sz w:val="26"/>
                <w:szCs w:val="26"/>
              </w:rPr>
              <w:t>1972.02</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个性化医疗中的结构生物学</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德克萨斯农工大学</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生物化学与生物物理学</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内分泌系统功能</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516"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Richard Pickersgill</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hint="eastAsia" w:ascii="Times New Roman" w:hAnsi="Times New Roman" w:eastAsia="仿宋" w:cs="Times New Roman"/>
                <w:sz w:val="26"/>
                <w:szCs w:val="26"/>
              </w:rPr>
              <w:t>1964.05</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个性化医疗中的结构生物学</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牛津大学</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结构生物学</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研究细菌中与钴蛋白合成、分泌系统和微室相关的蛋白质、酶和分子机器的结构和功能</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84"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 xml:space="preserve"> Conrad Bessant</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hint="eastAsia" w:ascii="Times New Roman" w:hAnsi="Times New Roman" w:eastAsia="仿宋" w:cs="Times New Roman"/>
                <w:sz w:val="26"/>
                <w:szCs w:val="26"/>
              </w:rPr>
              <w:t>1969.03</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生物信息学</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诺丁汉大学</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学习机器</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生物信息学</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84"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Viji Draviam</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仿宋" w:cs="Times New Roman"/>
                <w:sz w:val="26"/>
                <w:szCs w:val="26"/>
              </w:rPr>
            </w:pPr>
            <w:r>
              <w:rPr>
                <w:rFonts w:hint="eastAsia" w:ascii="Times New Roman" w:hAnsi="Times New Roman" w:eastAsia="仿宋" w:cs="Times New Roman"/>
                <w:sz w:val="26"/>
                <w:szCs w:val="26"/>
              </w:rPr>
              <w:t>1978.09</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医学影像</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牛津大学</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定量细胞和分子生物学</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影像</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84" w:hRule="atLeast"/>
          <w:jc w:val="center"/>
        </w:trPr>
        <w:tc>
          <w:tcPr>
            <w:tcW w:w="9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Times New Roman" w:hAnsi="Times New Roman" w:eastAsia="Times New Roman" w:cs="Times New Roman"/>
                <w:sz w:val="20"/>
                <w:szCs w:val="18"/>
              </w:rPr>
            </w:pPr>
            <w:r>
              <w:rPr>
                <w:rFonts w:hint="eastAsia" w:ascii="Times New Roman" w:hAnsi="Times New Roman" w:eastAsia="Times New Roman" w:cs="Times New Roman"/>
                <w:sz w:val="20"/>
                <w:szCs w:val="18"/>
              </w:rPr>
              <w:t>Anna Pachol</w:t>
            </w:r>
          </w:p>
        </w:tc>
        <w:tc>
          <w:tcPr>
            <w:tcW w:w="46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Times New Roman" w:hAnsi="Times New Roman" w:eastAsia="仿宋" w:cs="Times New Roman"/>
                <w:sz w:val="26"/>
                <w:szCs w:val="26"/>
              </w:rPr>
              <w:t>1986.09</w:t>
            </w:r>
          </w:p>
        </w:tc>
        <w:tc>
          <w:tcPr>
            <w:tcW w:w="1170"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模型、统计和临床试验</w:t>
            </w:r>
          </w:p>
        </w:tc>
        <w:tc>
          <w:tcPr>
            <w:tcW w:w="961"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莱斯特大学</w:t>
            </w:r>
          </w:p>
        </w:tc>
        <w:tc>
          <w:tcPr>
            <w:tcW w:w="1238"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病理学</w:t>
            </w:r>
          </w:p>
        </w:tc>
        <w:tc>
          <w:tcPr>
            <w:tcW w:w="784"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研究影响原位病变向侵袭性疾病进展的因素</w:t>
            </w:r>
          </w:p>
        </w:tc>
        <w:tc>
          <w:tcPr>
            <w:tcW w:w="676" w:type="dxa"/>
            <w:tcBorders>
              <w:top w:val="single" w:color="000000" w:sz="4" w:space="0"/>
              <w:left w:val="single" w:color="000000" w:sz="4" w:space="0"/>
              <w:bottom w:val="single" w:color="auto" w:sz="4" w:space="0"/>
              <w:right w:val="single" w:color="000000" w:sz="4" w:space="0"/>
            </w:tcBorders>
            <w:vAlign w:val="center"/>
          </w:tcPr>
          <w:p>
            <w:pPr>
              <w:spacing w:after="0" w:line="240" w:lineRule="auto"/>
              <w:ind w:right="57"/>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1"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王康</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1983.07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北京大学医学院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中医药理学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中医药理学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黄国栋</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1974.10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中医内科学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中医内科学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傅缨</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1962.01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北京中医药大学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中医基础理论</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中医药</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15"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廖鹏</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1986.06</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华中科技大学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光子中医学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光子中医学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周学明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1986.02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华中科技大学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光子中医学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光子中医学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胡志平</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1985.08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江西中医学院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中医内科学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中医内科学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郭健</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1967.07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江西中医学院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中医内科学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中医内科学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杨树龙</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1966.04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药理学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王晶磊</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1964.08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生理学与细胞学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魏洁</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1978.09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病理学与细胞学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邹惟莹</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1985.06</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神经电生理学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罗时文</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ascii="Times New Roman" w:hAnsi="Times New Roman" w:eastAsia="仿宋" w:cs="Times New Roman"/>
                <w:sz w:val="24"/>
                <w:szCs w:val="24"/>
              </w:rPr>
              <w:t>1962.10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香港大学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神经电生理学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杨建华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ascii="Times New Roman" w:hAnsi="Times New Roman" w:eastAsia="仿宋" w:cs="Times New Roman"/>
                <w:sz w:val="24"/>
                <w:szCs w:val="24"/>
              </w:rPr>
              <w:t>1974.09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韩国首尔大学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神经生理学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神经生理学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636"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应颖</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ascii="Times New Roman" w:hAnsi="Times New Roman" w:eastAsia="仿宋" w:cs="Times New Roman"/>
                <w:sz w:val="24"/>
                <w:szCs w:val="24"/>
              </w:rPr>
              <w:t>1981.01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rPr>
            </w:pPr>
            <w:r>
              <w:rPr>
                <w:rFonts w:hint="eastAsia" w:ascii="仿宋" w:hAnsi="仿宋" w:eastAsia="仿宋" w:cs="仿宋"/>
                <w:sz w:val="24"/>
                <w:szCs w:val="24"/>
              </w:rPr>
              <w:t>病理生理学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肿瘤病生</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lang w:bidi="ar"/>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晏浩</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ascii="Times New Roman" w:hAnsi="Times New Roman" w:eastAsia="仿宋" w:cs="Times New Roman"/>
                <w:sz w:val="24"/>
                <w:szCs w:val="24"/>
              </w:rPr>
              <w:t>1980.01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rPr>
            </w:pPr>
            <w:r>
              <w:rPr>
                <w:rFonts w:hint="eastAsia" w:ascii="仿宋" w:hAnsi="仿宋" w:eastAsia="仿宋" w:cs="仿宋"/>
                <w:sz w:val="24"/>
                <w:szCs w:val="24"/>
              </w:rPr>
              <w:t>病理生理学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心血管疾病</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lang w:bidi="ar"/>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王红梅</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ascii="Times New Roman" w:hAnsi="Times New Roman" w:eastAsia="仿宋" w:cs="Times New Roman"/>
                <w:sz w:val="24"/>
                <w:szCs w:val="24"/>
              </w:rPr>
              <w:t>1971.02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rPr>
            </w:pPr>
            <w:r>
              <w:rPr>
                <w:rFonts w:hint="eastAsia" w:ascii="仿宋" w:hAnsi="仿宋" w:eastAsia="仿宋" w:cs="仿宋"/>
                <w:sz w:val="24"/>
                <w:szCs w:val="24"/>
              </w:rPr>
              <w:t>病理生理学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药学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肿瘤免疫</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胡贞贞</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ascii="Times New Roman" w:hAnsi="Times New Roman" w:eastAsia="仿宋" w:cs="Times New Roman"/>
                <w:sz w:val="24"/>
                <w:szCs w:val="24"/>
              </w:rPr>
              <w:t>1981.07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rPr>
            </w:pPr>
            <w:r>
              <w:rPr>
                <w:rFonts w:hint="eastAsia" w:ascii="仿宋" w:hAnsi="仿宋" w:eastAsia="仿宋" w:cs="仿宋"/>
                <w:sz w:val="24"/>
                <w:szCs w:val="24"/>
              </w:rPr>
              <w:t>病理生理学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韩国首尔大学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药学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药物成瘾</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lang w:bidi="ar"/>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ascii="仿宋" w:hAnsi="仿宋" w:eastAsia="仿宋" w:cs="仿宋"/>
                <w:sz w:val="24"/>
                <w:szCs w:val="24"/>
              </w:rPr>
              <w:t>蔡震宇</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ascii="Times New Roman" w:hAnsi="Times New Roman" w:eastAsia="仿宋" w:cs="Times New Roman"/>
                <w:sz w:val="24"/>
                <w:szCs w:val="24"/>
              </w:rPr>
              <w:t>1963.10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rPr>
            </w:pPr>
            <w:r>
              <w:rPr>
                <w:rFonts w:hint="eastAsia" w:ascii="仿宋" w:hAnsi="仿宋" w:eastAsia="仿宋" w:cs="仿宋"/>
                <w:sz w:val="24"/>
                <w:szCs w:val="24"/>
              </w:rPr>
              <w:t>病理生理学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药学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lang w:bidi="ar"/>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熊丽霞</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ascii="Times New Roman" w:hAnsi="Times New Roman" w:eastAsia="仿宋" w:cs="Times New Roman"/>
                <w:sz w:val="24"/>
                <w:szCs w:val="24"/>
              </w:rPr>
              <w:t>1974.04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rPr>
            </w:pPr>
            <w:r>
              <w:rPr>
                <w:rFonts w:hint="eastAsia" w:ascii="仿宋" w:hAnsi="仿宋" w:eastAsia="仿宋" w:cs="仿宋"/>
                <w:sz w:val="24"/>
                <w:szCs w:val="24"/>
              </w:rPr>
              <w:t>病理生理学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烧伤外科</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林辉</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1988.11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rPr>
            </w:pPr>
            <w:r>
              <w:rPr>
                <w:rFonts w:hint="eastAsia" w:ascii="仿宋" w:hAnsi="仿宋" w:eastAsia="仿宋" w:cs="仿宋"/>
                <w:sz w:val="24"/>
                <w:szCs w:val="24"/>
              </w:rPr>
              <w:t>病理生理学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药学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骨形成及信号转导</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88"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江龙</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1988.06</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rPr>
              <w:t>基础医学遗传学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初级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首都医科大学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病理学与病理生理学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病理学与病理生理学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匡渤海</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1958.08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rPr>
              <w:t>基础医学遗传学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细胞生物学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王静</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1980.02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rPr>
              <w:t>病原生物学(Ⅰ)(医学微生物学)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北京协和医科大学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微生物</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生物化学与分子生物学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宋况余</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1971.01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rPr>
              <w:t>病原生物学(Ⅰ)(医学微生物学)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病原生物学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病原生物学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733"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黄春洪</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1979.01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rPr>
              <w:t>病原生物学(Ⅰ)(医学微生物学)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中国药科大学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微生物与生化药学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细胞生物学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08"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夏燕华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1977.02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rPr>
              <w:t>病原生物学(Ⅰ)(医学微生物学)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武汉大学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微生物</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细胞生物学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胡美迪</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1985.01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实验诊断技术</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游宇</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1979.09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临床检验诊断学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临床检验诊断学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李萍</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1968.05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文渊</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1980.01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武汉大学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丁浩</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1981.05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华中科技大学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郭治彬</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1962.11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章杨龙</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1964.05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诊断学(Ⅰ)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中山大学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实验诊断技术</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实验诊断技术</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周晓晨</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1985.07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外科学总论(Ⅰ)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其他（初级）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北京大学医学院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黄勇</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1985.05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外科学总论(Ⅰ)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刘德伍</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1963.01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外科学总论(Ⅰ)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上海交通大学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傅斌</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1973.08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外科学总论(Ⅰ)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浙江大学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曹毅</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1989.07</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rPr>
              <w:t>外科学总论(Ⅰ)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湘雅医院</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陈刚泉</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1982.09</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rPr>
              <w:t>外科学总论(Ⅰ)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邵强</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1990.04</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rPr>
              <w:t>外科学总论(Ⅰ)</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外科学总论</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rPr>
              <w:t>冯昶</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1969.07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流行病学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1026"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rPr>
              <w:t>黄鹏</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1972.03</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卫生学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周小军</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1967.11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药学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况杰</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1983.04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both"/>
              <w:rPr>
                <w:rFonts w:ascii="Times New Roman" w:hAnsi="Times New Roman" w:eastAsia="仿宋" w:cs="Times New Roman"/>
                <w:sz w:val="24"/>
                <w:szCs w:val="24"/>
              </w:rPr>
            </w:pPr>
            <w:r>
              <w:rPr>
                <w:rFonts w:hint="eastAsia" w:ascii="仿宋" w:hAnsi="仿宋" w:eastAsia="仿宋" w:cs="仿宋"/>
                <w:sz w:val="24"/>
                <w:szCs w:val="24"/>
              </w:rPr>
              <w:t>环境医学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习青华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1979.12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社会医学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李琦</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1979.06</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阮世颖</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1982.07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环境医学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王博</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医学影像学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北京大学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影像学与生物医学工程</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仿宋" w:hAnsi="仿宋" w:eastAsia="仿宋" w:cs="仿宋"/>
                <w:sz w:val="24"/>
                <w:szCs w:val="24"/>
              </w:rPr>
            </w:pPr>
          </w:p>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超声</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陈琦</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医学影像学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中国科技大学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医学影像与研究</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MR</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黄继蓝</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1987.04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医学影像学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核医学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何来昌</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1973.08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医学影像学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姜建</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1974.06</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医学影像学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首都医科大学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医学影像与研究</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余晨</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1987.07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医学影像学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华中科技大学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医学影像与研究</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高珍</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1986.10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传染病学（肺结核方向）</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李小鹏</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1986.08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传染病学（肺结核方向）</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刘翠芸</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1987.07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上海交通大学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邬小萍</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1965.09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流行传染病学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向天新</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1984.02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中山大学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分子流行病学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流行传染病</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葛善飞</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1980.10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华中科技大学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传染病学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尚蕾</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1986.02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复旦大学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highlight w:val="cyan"/>
              </w:rPr>
            </w:pPr>
            <w:r>
              <w:rPr>
                <w:rFonts w:hint="eastAsia" w:ascii="仿宋" w:hAnsi="仿宋" w:eastAsia="仿宋" w:cs="仿宋"/>
                <w:sz w:val="24"/>
                <w:szCs w:val="24"/>
                <w:lang w:bidi="ar"/>
              </w:rPr>
              <w:t>韩小建</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highlight w:val="cyan"/>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highlight w:val="cyan"/>
              </w:rPr>
            </w:pPr>
            <w:r>
              <w:rPr>
                <w:rFonts w:ascii="Times New Roman" w:hAnsi="Times New Roman" w:eastAsia="仿宋" w:cs="Times New Roman"/>
                <w:sz w:val="24"/>
                <w:szCs w:val="24"/>
              </w:rPr>
              <w:t>1973.12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highlight w:val="cyan"/>
              </w:rPr>
            </w:pPr>
            <w:r>
              <w:rPr>
                <w:rFonts w:hint="eastAsia" w:ascii="仿宋" w:hAnsi="仿宋" w:eastAsia="仿宋" w:cs="仿宋"/>
                <w:sz w:val="24"/>
                <w:szCs w:val="24"/>
              </w:rPr>
              <w:t>眼科学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highlight w:val="cyan"/>
              </w:rPr>
            </w:pPr>
            <w:r>
              <w:rPr>
                <w:rFonts w:hint="eastAsia" w:ascii="仿宋" w:hAnsi="仿宋" w:eastAsia="仿宋" w:cs="仿宋"/>
                <w:sz w:val="24"/>
                <w:szCs w:val="24"/>
              </w:rPr>
              <w:t>正高级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武汉大学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张旭</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1956.01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北京大学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仿宋" w:hAnsi="仿宋" w:eastAsia="仿宋" w:cs="仿宋"/>
                <w:sz w:val="24"/>
                <w:szCs w:val="24"/>
              </w:rPr>
            </w:pPr>
          </w:p>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占敏艳</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1987.08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黄敬</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1986.12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上海交通大学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王婵婵</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邹琼</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1987.09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眼科学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黄华福</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1965.10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辜斌</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1964.09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舒虹</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1980.06</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郭宁红</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华中科技大学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张宁</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1985.11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上海交通大学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何玉麟</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1974.07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魏超</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1981.10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医学影像</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医学影像</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彭亚婷</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1986.08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皮肤性病学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初级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武汉大学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皮肤病学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真菌学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谢婷</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1988.09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皮肤性病学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初级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皮肤病学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美容皮肤学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郭竹秀</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1963.10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皮肤性病学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皮肤病学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传染性皮肤病</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李春明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1980.02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皮肤性病学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首都医科大学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皮肤病学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儿童皮肤病学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曹先伟</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1965.08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皮肤性病学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皮肤病学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传染性皮肤病</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童建波</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1981.01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皮肤性病学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华中科技大学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皮肤病学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皮肤病学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邓军</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1987.11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初级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内科学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陈淑云</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北京大学医学院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内科学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陈俊</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内科学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潘晓林</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华中科技大学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内科学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谢川</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1988.02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内科学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石超</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内科学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内科学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李虎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1986.10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外科学各论</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金彦召</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1981.05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外科学各论</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中山大学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沈威</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1973.03</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外科学各论</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卢国辉</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1986.11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外科学各论</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北京大学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付莹</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外科学各论</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万力</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1975.05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外科学各论</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唐斌</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外科学各论</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华中科技大学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外科学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万斌</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ascii="Times New Roman" w:hAnsi="Times New Roman" w:eastAsia="仿宋" w:cs="Times New Roman"/>
                <w:sz w:val="24"/>
                <w:szCs w:val="24"/>
              </w:rPr>
              <w:t>1976</w:t>
            </w:r>
            <w:r>
              <w:rPr>
                <w:rFonts w:hint="eastAsia" w:ascii="Times New Roman" w:hAnsi="Times New Roman" w:eastAsia="仿宋" w:cs="Times New Roman"/>
                <w:sz w:val="24"/>
                <w:szCs w:val="24"/>
              </w:rPr>
              <w:t>.06</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仿宋" w:cs="Times New Roman"/>
                <w:sz w:val="24"/>
                <w:szCs w:val="24"/>
              </w:rPr>
            </w:pPr>
            <w:r>
              <w:rPr>
                <w:rFonts w:hint="eastAsia" w:ascii="仿宋" w:hAnsi="仿宋" w:eastAsia="仿宋" w:cs="仿宋"/>
                <w:sz w:val="24"/>
                <w:szCs w:val="24"/>
              </w:rPr>
              <w:t>人体解剖与组织胚胎学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刘曾旭</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1967</w:t>
            </w:r>
            <w:r>
              <w:rPr>
                <w:rFonts w:hint="eastAsia" w:ascii="Times New Roman" w:hAnsi="Times New Roman" w:eastAsia="仿宋" w:cs="Times New Roman"/>
                <w:sz w:val="24"/>
                <w:szCs w:val="24"/>
              </w:rPr>
              <w:t>.07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firstLine="240" w:firstLineChars="100"/>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华萍</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1962</w:t>
            </w:r>
            <w:r>
              <w:rPr>
                <w:rFonts w:hint="eastAsia" w:ascii="Times New Roman" w:hAnsi="Times New Roman" w:eastAsia="仿宋" w:cs="Times New Roman"/>
                <w:sz w:val="24"/>
                <w:szCs w:val="24"/>
              </w:rPr>
              <w:t>.04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胡小令</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1962</w:t>
            </w:r>
            <w:r>
              <w:rPr>
                <w:rFonts w:hint="eastAsia" w:ascii="Times New Roman" w:hAnsi="Times New Roman" w:eastAsia="仿宋" w:cs="Times New Roman"/>
                <w:sz w:val="24"/>
                <w:szCs w:val="24"/>
              </w:rPr>
              <w:t>.04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吕诚</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男</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1968</w:t>
            </w:r>
            <w:r>
              <w:rPr>
                <w:rFonts w:hint="eastAsia" w:ascii="Times New Roman" w:hAnsi="Times New Roman" w:eastAsia="仿宋" w:cs="Times New Roman"/>
                <w:sz w:val="24"/>
                <w:szCs w:val="24"/>
                <w:lang w:bidi="ar"/>
              </w:rPr>
              <w:t>.08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熊俊平</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男</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1969</w:t>
            </w:r>
            <w:r>
              <w:rPr>
                <w:rFonts w:hint="eastAsia" w:ascii="Times New Roman" w:hAnsi="Times New Roman" w:eastAsia="仿宋" w:cs="Times New Roman"/>
                <w:sz w:val="24"/>
                <w:szCs w:val="24"/>
                <w:lang w:bidi="ar"/>
              </w:rPr>
              <w:t>.03</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薛国勇</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男</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1969</w:t>
            </w:r>
            <w:r>
              <w:rPr>
                <w:rFonts w:hint="eastAsia" w:ascii="Times New Roman" w:hAnsi="Times New Roman" w:eastAsia="仿宋" w:cs="Times New Roman"/>
                <w:sz w:val="24"/>
                <w:szCs w:val="24"/>
                <w:lang w:bidi="ar"/>
              </w:rPr>
              <w:t>.05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李耀斌</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男</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1973</w:t>
            </w:r>
            <w:r>
              <w:rPr>
                <w:rFonts w:hint="eastAsia" w:ascii="Times New Roman" w:hAnsi="Times New Roman" w:eastAsia="仿宋" w:cs="Times New Roman"/>
                <w:sz w:val="24"/>
                <w:szCs w:val="24"/>
                <w:lang w:bidi="ar"/>
              </w:rPr>
              <w:t>.08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伍洪昊</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男</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1974</w:t>
            </w:r>
            <w:r>
              <w:rPr>
                <w:rFonts w:hint="eastAsia" w:ascii="Times New Roman" w:hAnsi="Times New Roman" w:eastAsia="仿宋" w:cs="Times New Roman"/>
                <w:sz w:val="24"/>
                <w:szCs w:val="24"/>
                <w:lang w:bidi="ar"/>
              </w:rPr>
              <w:t>.03</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祝高春</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男</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1975</w:t>
            </w:r>
            <w:r>
              <w:rPr>
                <w:rFonts w:hint="eastAsia" w:ascii="Times New Roman" w:hAnsi="Times New Roman" w:eastAsia="仿宋" w:cs="Times New Roman"/>
                <w:sz w:val="24"/>
                <w:szCs w:val="24"/>
                <w:lang w:bidi="ar"/>
              </w:rPr>
              <w:t>.07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马建敏</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女</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1974</w:t>
            </w:r>
            <w:r>
              <w:rPr>
                <w:rFonts w:hint="eastAsia" w:ascii="Times New Roman" w:hAnsi="Times New Roman" w:eastAsia="仿宋" w:cs="Times New Roman"/>
                <w:sz w:val="24"/>
                <w:szCs w:val="24"/>
                <w:lang w:bidi="ar"/>
              </w:rPr>
              <w:t>.03</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杨宝林</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男</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1978</w:t>
            </w:r>
            <w:r>
              <w:rPr>
                <w:rFonts w:hint="eastAsia" w:ascii="Times New Roman" w:hAnsi="Times New Roman" w:eastAsia="仿宋" w:cs="Times New Roman"/>
                <w:sz w:val="24"/>
                <w:szCs w:val="24"/>
                <w:lang w:bidi="ar"/>
              </w:rPr>
              <w:t>.02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聂菁</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女</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1983</w:t>
            </w:r>
            <w:r>
              <w:rPr>
                <w:rFonts w:hint="eastAsia" w:ascii="Times New Roman" w:hAnsi="Times New Roman" w:eastAsia="仿宋" w:cs="Times New Roman"/>
                <w:sz w:val="24"/>
                <w:szCs w:val="24"/>
                <w:lang w:bidi="ar"/>
              </w:rPr>
              <w:t>.07</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人体解剖学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Style w:val="20"/>
                <w:rFonts w:hint="default" w:ascii="仿宋" w:hAnsi="仿宋" w:eastAsia="仿宋" w:cs="仿宋"/>
                <w:lang w:bidi="ar"/>
              </w:rPr>
              <w:t>张春平</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男</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1982</w:t>
            </w:r>
            <w:r>
              <w:rPr>
                <w:rFonts w:hint="eastAsia" w:ascii="Times New Roman" w:hAnsi="Times New Roman" w:eastAsia="仿宋" w:cs="Times New Roman"/>
                <w:sz w:val="24"/>
                <w:szCs w:val="24"/>
                <w:lang w:bidi="ar"/>
              </w:rPr>
              <w:t>.07</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细胞生物学和发育遗传学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遗传学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医学遗传学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Style w:val="20"/>
                <w:rFonts w:hint="default" w:ascii="仿宋" w:hAnsi="仿宋" w:eastAsia="仿宋" w:cs="仿宋"/>
                <w:lang w:bidi="ar"/>
              </w:rPr>
              <w:t>刘芳</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女</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1974</w:t>
            </w:r>
            <w:r>
              <w:rPr>
                <w:rFonts w:hint="eastAsia" w:ascii="Times New Roman" w:hAnsi="Times New Roman" w:eastAsia="仿宋" w:cs="Times New Roman"/>
                <w:sz w:val="24"/>
                <w:szCs w:val="24"/>
                <w:lang w:bidi="ar"/>
              </w:rPr>
              <w:t>.04</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细胞生物学和发育遗传学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遗传学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医学遗传学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Style w:val="20"/>
                <w:rFonts w:hint="default" w:ascii="仿宋" w:hAnsi="仿宋" w:eastAsia="仿宋" w:cs="仿宋"/>
                <w:lang w:bidi="ar"/>
              </w:rPr>
              <w:t>李翔</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男</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1983</w:t>
            </w:r>
            <w:r>
              <w:rPr>
                <w:rFonts w:hint="eastAsia" w:ascii="Times New Roman" w:hAnsi="Times New Roman" w:eastAsia="仿宋" w:cs="Times New Roman"/>
                <w:sz w:val="24"/>
                <w:szCs w:val="24"/>
                <w:lang w:bidi="ar"/>
              </w:rPr>
              <w:t>.03</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细胞生物学和发育遗传学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遗传学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医学遗传学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Style w:val="20"/>
                <w:rFonts w:hint="default" w:ascii="仿宋" w:hAnsi="仿宋" w:eastAsia="仿宋" w:cs="仿宋"/>
                <w:lang w:bidi="ar"/>
              </w:rPr>
              <w:t>胡川</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男</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1975</w:t>
            </w:r>
            <w:r>
              <w:rPr>
                <w:rFonts w:hint="eastAsia" w:ascii="Times New Roman" w:hAnsi="Times New Roman" w:eastAsia="仿宋" w:cs="Times New Roman"/>
                <w:sz w:val="24"/>
                <w:szCs w:val="24"/>
                <w:lang w:bidi="ar"/>
              </w:rPr>
              <w:t>.04</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细胞生物学和发育遗传学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遗传学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医学遗传学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Style w:val="20"/>
                <w:rFonts w:hint="default" w:ascii="仿宋" w:hAnsi="仿宋" w:eastAsia="仿宋" w:cs="仿宋"/>
                <w:lang w:bidi="ar"/>
              </w:rPr>
              <w:t>蔡伟</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女</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1979</w:t>
            </w:r>
            <w:r>
              <w:rPr>
                <w:rFonts w:hint="eastAsia" w:ascii="Times New Roman" w:hAnsi="Times New Roman" w:eastAsia="仿宋" w:cs="Times New Roman"/>
                <w:sz w:val="24"/>
                <w:szCs w:val="24"/>
                <w:lang w:bidi="ar"/>
              </w:rPr>
              <w:t>.09</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细胞生物学和发育遗传学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遗传学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医学遗传学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1203"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Style w:val="20"/>
                <w:rFonts w:hint="default" w:ascii="仿宋" w:hAnsi="仿宋" w:eastAsia="仿宋" w:cs="仿宋"/>
                <w:lang w:bidi="ar"/>
              </w:rPr>
              <w:t>唐珉</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女</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1965</w:t>
            </w:r>
            <w:r>
              <w:rPr>
                <w:rFonts w:hint="eastAsia" w:ascii="Times New Roman" w:hAnsi="Times New Roman" w:eastAsia="仿宋" w:cs="Times New Roman"/>
                <w:sz w:val="24"/>
                <w:szCs w:val="24"/>
                <w:lang w:bidi="ar"/>
              </w:rPr>
              <w:t>.05</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细胞生物学和发育遗传学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遗传学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医学遗传学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Style w:val="20"/>
                <w:rFonts w:hint="default" w:ascii="仿宋" w:hAnsi="仿宋" w:eastAsia="仿宋" w:cs="仿宋"/>
                <w:lang w:bidi="ar"/>
              </w:rPr>
              <w:t>李刚</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女</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ascii="Times New Roman" w:hAnsi="Times New Roman" w:eastAsia="仿宋" w:cs="Times New Roman"/>
                <w:sz w:val="24"/>
                <w:szCs w:val="24"/>
                <w:lang w:bidi="ar"/>
              </w:rPr>
              <w:t>1961</w:t>
            </w:r>
            <w:r>
              <w:rPr>
                <w:rFonts w:hint="eastAsia" w:ascii="Times New Roman" w:hAnsi="Times New Roman" w:eastAsia="仿宋" w:cs="Times New Roman"/>
                <w:sz w:val="24"/>
                <w:szCs w:val="24"/>
                <w:lang w:bidi="ar"/>
              </w:rPr>
              <w:t>.02</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细胞生物学和发育遗传学</w:t>
            </w:r>
          </w:p>
        </w:tc>
        <w:tc>
          <w:tcPr>
            <w:tcW w:w="96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遗传学</w:t>
            </w:r>
          </w:p>
        </w:tc>
        <w:tc>
          <w:tcPr>
            <w:tcW w:w="7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szCs w:val="24"/>
              </w:rPr>
            </w:pPr>
            <w:r>
              <w:rPr>
                <w:rFonts w:hint="eastAsia" w:ascii="仿宋" w:hAnsi="仿宋" w:eastAsia="仿宋" w:cs="仿宋"/>
                <w:sz w:val="24"/>
                <w:szCs w:val="24"/>
              </w:rPr>
              <w:t>医学遗传学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rPr>
              <w:t>施桥发</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1973</w:t>
            </w:r>
            <w:r>
              <w:rPr>
                <w:rFonts w:hint="eastAsia" w:ascii="Times New Roman" w:hAnsi="Times New Roman" w:eastAsia="仿宋" w:cs="Times New Roman"/>
                <w:sz w:val="24"/>
                <w:szCs w:val="24"/>
              </w:rPr>
              <w:t>.05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基础免疫学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四川大学华西医学中心</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病原生物学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人体免疫学</w:t>
            </w:r>
          </w:p>
        </w:tc>
        <w:tc>
          <w:tcPr>
            <w:tcW w:w="6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rPr>
              <w:t>曾小平</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1973</w:t>
            </w:r>
            <w:r>
              <w:rPr>
                <w:rFonts w:hint="eastAsia" w:ascii="Times New Roman" w:hAnsi="Times New Roman" w:eastAsia="仿宋" w:cs="Times New Roman"/>
                <w:sz w:val="24"/>
                <w:szCs w:val="24"/>
              </w:rPr>
              <w:t>.12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基础免疫学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免疫学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人体免疫学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rPr>
              <w:t>刘金辉</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1966</w:t>
            </w:r>
            <w:r>
              <w:rPr>
                <w:rFonts w:hint="eastAsia" w:ascii="Times New Roman" w:hAnsi="Times New Roman" w:eastAsia="仿宋" w:cs="Times New Roman"/>
                <w:sz w:val="24"/>
                <w:szCs w:val="24"/>
              </w:rPr>
              <w:t>.06</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分子临床微生物学、病原微生物学I（医学微生物学）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北京协和医学院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微生物学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病原微生物学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rPr>
              <w:t>刘琼</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1989</w:t>
            </w:r>
            <w:r>
              <w:rPr>
                <w:rFonts w:hint="eastAsia" w:ascii="Times New Roman" w:hAnsi="Times New Roman" w:eastAsia="仿宋" w:cs="Times New Roman"/>
                <w:sz w:val="24"/>
                <w:szCs w:val="24"/>
              </w:rPr>
              <w:t>.09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分子临床微生物学、病原微生物学I（医学微生物学）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四川农业大学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预防兽医学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预防兽医学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李蓉</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1974</w:t>
            </w:r>
            <w:r>
              <w:rPr>
                <w:rFonts w:hint="eastAsia" w:ascii="Times New Roman" w:hAnsi="Times New Roman" w:eastAsia="仿宋" w:cs="Times New Roman"/>
                <w:sz w:val="24"/>
                <w:szCs w:val="24"/>
              </w:rPr>
              <w:t>.05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分子临床微生物学、病原微生物学I（医学微生物学）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复旦大学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病原微生物学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机体免疫抵御病原微生物机制</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夏燕华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1978</w:t>
            </w:r>
            <w:r>
              <w:rPr>
                <w:rFonts w:hint="eastAsia" w:ascii="Times New Roman" w:hAnsi="Times New Roman" w:eastAsia="仿宋" w:cs="Times New Roman"/>
                <w:sz w:val="24"/>
                <w:szCs w:val="24"/>
              </w:rPr>
              <w:t>.02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分子临床微生物学、病原微生物学I（医学微生物学）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病原微生物学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病原微生物学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宋矿余</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1972</w:t>
            </w:r>
            <w:r>
              <w:rPr>
                <w:rFonts w:hint="eastAsia" w:ascii="Times New Roman" w:hAnsi="Times New Roman" w:eastAsia="仿宋" w:cs="Times New Roman"/>
                <w:sz w:val="24"/>
                <w:szCs w:val="24"/>
              </w:rPr>
              <w:t>.02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分子临床微生物学、病原微生物学I（医学微生物学）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病原微生物学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病原微生物学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王静</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1981</w:t>
            </w:r>
            <w:r>
              <w:rPr>
                <w:rFonts w:hint="eastAsia" w:ascii="Times New Roman" w:hAnsi="Times New Roman" w:eastAsia="仿宋" w:cs="Times New Roman"/>
                <w:sz w:val="24"/>
                <w:szCs w:val="24"/>
              </w:rPr>
              <w:t>.01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分子临床微生物学、病原微生物学I（医学微生物学）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病理生理学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病原微生物学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黄春洪</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1980</w:t>
            </w:r>
            <w:r>
              <w:rPr>
                <w:rFonts w:hint="eastAsia" w:ascii="Times New Roman" w:hAnsi="Times New Roman" w:eastAsia="仿宋" w:cs="Times New Roman"/>
                <w:sz w:val="24"/>
                <w:szCs w:val="24"/>
              </w:rPr>
              <w:t>.10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基因组和大数据在诊断和疾病中的应用</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病理学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眼镜蛇和蝮蛇等蛇毒作用机制</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汤晓丽</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1976</w:t>
            </w:r>
            <w:r>
              <w:rPr>
                <w:rFonts w:hint="eastAsia" w:ascii="Times New Roman" w:hAnsi="Times New Roman" w:eastAsia="仿宋" w:cs="Times New Roman"/>
                <w:sz w:val="24"/>
                <w:szCs w:val="24"/>
              </w:rPr>
              <w:t>.06</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基因组和大数据在诊断和疾病中的应用</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分子病理学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分子生物学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潘泽政</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1977</w:t>
            </w:r>
            <w:r>
              <w:rPr>
                <w:rFonts w:hint="eastAsia" w:ascii="Times New Roman" w:hAnsi="Times New Roman" w:eastAsia="仿宋" w:cs="Times New Roman"/>
                <w:sz w:val="24"/>
                <w:szCs w:val="24"/>
              </w:rPr>
              <w:t>.07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基因组和大数据在诊断和疾病中的应用</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病理学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表观遗传学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涂硕</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1982</w:t>
            </w:r>
            <w:r>
              <w:rPr>
                <w:rFonts w:hint="eastAsia" w:ascii="Times New Roman" w:hAnsi="Times New Roman" w:eastAsia="仿宋" w:cs="Times New Roman"/>
                <w:sz w:val="24"/>
                <w:szCs w:val="24"/>
              </w:rPr>
              <w:t>.02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基因组和大数据在诊断和疾病中的应用</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临床病理学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细胞信号传递机制</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严晓华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1981</w:t>
            </w:r>
            <w:r>
              <w:rPr>
                <w:rFonts w:hint="eastAsia" w:ascii="Times New Roman" w:hAnsi="Times New Roman" w:eastAsia="仿宋" w:cs="Times New Roman"/>
                <w:sz w:val="24"/>
                <w:szCs w:val="24"/>
              </w:rPr>
              <w:t>.11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基因组和大数据在诊断和疾病中的应用</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清华大学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生物化学与分子生物学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细胞内信号通路</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罗达亚</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1974</w:t>
            </w:r>
            <w:r>
              <w:rPr>
                <w:rFonts w:hint="eastAsia" w:ascii="Times New Roman" w:hAnsi="Times New Roman" w:eastAsia="仿宋" w:cs="Times New Roman"/>
                <w:sz w:val="24"/>
                <w:szCs w:val="24"/>
              </w:rPr>
              <w:t>.02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生命生物分子</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北京大学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生物化学与分子生物学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生物化学与细胞生物学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胡晓鹃</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1980</w:t>
            </w:r>
            <w:r>
              <w:rPr>
                <w:rFonts w:hint="eastAsia" w:ascii="Times New Roman" w:hAnsi="Times New Roman" w:eastAsia="仿宋" w:cs="Times New Roman"/>
                <w:sz w:val="24"/>
                <w:szCs w:val="24"/>
              </w:rPr>
              <w:t>.10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生命生物分子</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生物化学与分子生物学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脂肪细胞内信号通路与发胖的关系</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石林波</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1978</w:t>
            </w:r>
            <w:r>
              <w:rPr>
                <w:rFonts w:hint="eastAsia" w:ascii="Times New Roman" w:hAnsi="Times New Roman" w:eastAsia="仿宋" w:cs="Times New Roman"/>
                <w:sz w:val="24"/>
                <w:szCs w:val="24"/>
              </w:rPr>
              <w:t>.08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生命生物分子</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生物化学与分子生物学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生物化学与细胞生物学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熊向阳</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1969</w:t>
            </w:r>
            <w:r>
              <w:rPr>
                <w:rFonts w:hint="eastAsia" w:ascii="Times New Roman" w:hAnsi="Times New Roman" w:eastAsia="仿宋" w:cs="Times New Roman"/>
                <w:sz w:val="24"/>
                <w:szCs w:val="24"/>
              </w:rPr>
              <w:t>.09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生命生物分子</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食品学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脂肪细胞内信号通路与发胖的关系</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颜念龙</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1975</w:t>
            </w:r>
            <w:r>
              <w:rPr>
                <w:rFonts w:hint="eastAsia" w:ascii="Times New Roman" w:hAnsi="Times New Roman" w:eastAsia="仿宋" w:cs="Times New Roman"/>
                <w:sz w:val="24"/>
                <w:szCs w:val="24"/>
              </w:rPr>
              <w:t>.05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生命生物分子</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生物化学与分子生物学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生物化学与细胞生物学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应牡英</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1970</w:t>
            </w:r>
            <w:r>
              <w:rPr>
                <w:rFonts w:hint="eastAsia" w:ascii="Times New Roman" w:hAnsi="Times New Roman" w:eastAsia="仿宋" w:cs="Times New Roman"/>
                <w:sz w:val="24"/>
                <w:szCs w:val="24"/>
              </w:rPr>
              <w:t>.01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生命生物分子</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生物化学与分子生物学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生物化学与生物信息学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朱春潮</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1981</w:t>
            </w:r>
            <w:r>
              <w:rPr>
                <w:rFonts w:hint="eastAsia" w:ascii="Times New Roman" w:hAnsi="Times New Roman" w:eastAsia="仿宋" w:cs="Times New Roman"/>
                <w:sz w:val="24"/>
                <w:szCs w:val="24"/>
              </w:rPr>
              <w:t>.02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生命生物分子</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生物化学与分子生物学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生物化学与细胞生物学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刘丽乔</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1980</w:t>
            </w:r>
            <w:r>
              <w:rPr>
                <w:rFonts w:hint="eastAsia" w:ascii="Times New Roman" w:hAnsi="Times New Roman" w:eastAsia="仿宋" w:cs="Times New Roman"/>
                <w:sz w:val="24"/>
                <w:szCs w:val="24"/>
              </w:rPr>
              <w:t>.10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生命生物分子</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生物化学与分子生物学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生物化学与细胞生物学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陈红平</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1976</w:t>
            </w:r>
            <w:r>
              <w:rPr>
                <w:rFonts w:hint="eastAsia" w:ascii="Times New Roman" w:hAnsi="Times New Roman" w:eastAsia="仿宋" w:cs="Times New Roman"/>
                <w:sz w:val="24"/>
                <w:szCs w:val="24"/>
              </w:rPr>
              <w:t>.02</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组织学与组织病理学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组织学与组织胚胎学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组织学与组织胚胎学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罗琪</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1984</w:t>
            </w:r>
            <w:r>
              <w:rPr>
                <w:rFonts w:hint="eastAsia" w:ascii="Times New Roman" w:hAnsi="Times New Roman" w:eastAsia="仿宋" w:cs="Times New Roman"/>
                <w:sz w:val="24"/>
                <w:szCs w:val="24"/>
              </w:rPr>
              <w:t>.06</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组织学与组织病理学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组织学与组织胚胎学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肿瘤发生机制</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周莹</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1973</w:t>
            </w:r>
            <w:r>
              <w:rPr>
                <w:rFonts w:hint="eastAsia" w:ascii="Times New Roman" w:hAnsi="Times New Roman" w:eastAsia="仿宋" w:cs="Times New Roman"/>
                <w:sz w:val="24"/>
                <w:szCs w:val="24"/>
              </w:rPr>
              <w:t>.07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组织学与组织病理学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组织学与组织胚胎学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肿瘤发生机制</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李桂林</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1975</w:t>
            </w:r>
            <w:r>
              <w:rPr>
                <w:rFonts w:hint="eastAsia" w:ascii="Times New Roman" w:hAnsi="Times New Roman" w:eastAsia="仿宋" w:cs="Times New Roman"/>
                <w:sz w:val="24"/>
                <w:szCs w:val="24"/>
              </w:rPr>
              <w:t>.05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神经生物学基础</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神经发育与疾病</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rPr>
              <w:t>高云</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1974</w:t>
            </w:r>
            <w:r>
              <w:rPr>
                <w:rFonts w:hint="eastAsia" w:ascii="Times New Roman" w:hAnsi="Times New Roman" w:eastAsia="仿宋" w:cs="Times New Roman"/>
                <w:sz w:val="24"/>
                <w:szCs w:val="24"/>
              </w:rPr>
              <w:t>.04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神经生物学基础</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电生理学与记忆</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徐宏</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1979</w:t>
            </w:r>
            <w:r>
              <w:rPr>
                <w:rFonts w:hint="eastAsia" w:ascii="Times New Roman" w:hAnsi="Times New Roman" w:eastAsia="仿宋" w:cs="Times New Roman"/>
                <w:sz w:val="24"/>
                <w:szCs w:val="24"/>
              </w:rPr>
              <w:t>.09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神经生物学基础</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神经电生理学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刘双梅</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1984</w:t>
            </w:r>
            <w:r>
              <w:rPr>
                <w:rFonts w:hint="eastAsia" w:ascii="Times New Roman" w:hAnsi="Times New Roman" w:eastAsia="仿宋" w:cs="Times New Roman"/>
                <w:sz w:val="24"/>
                <w:szCs w:val="24"/>
              </w:rPr>
              <w:t>.04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神经生物学基础</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生理学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神经电生理学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周小军</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1969</w:t>
            </w:r>
            <w:r>
              <w:rPr>
                <w:rFonts w:hint="eastAsia" w:ascii="Times New Roman" w:hAnsi="Times New Roman" w:eastAsia="仿宋" w:cs="Times New Roman"/>
                <w:sz w:val="24"/>
                <w:szCs w:val="24"/>
              </w:rPr>
              <w:t>.09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中山大学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郑辉烈</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1977</w:t>
            </w:r>
            <w:r>
              <w:rPr>
                <w:rFonts w:hint="eastAsia" w:ascii="Times New Roman" w:hAnsi="Times New Roman" w:eastAsia="仿宋" w:cs="Times New Roman"/>
                <w:sz w:val="24"/>
                <w:szCs w:val="24"/>
              </w:rPr>
              <w:t>.07</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俞慧强</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1968</w:t>
            </w:r>
            <w:r>
              <w:rPr>
                <w:rFonts w:hint="eastAsia" w:ascii="Times New Roman" w:hAnsi="Times New Roman" w:eastAsia="仿宋" w:cs="Times New Roman"/>
                <w:sz w:val="24"/>
                <w:szCs w:val="24"/>
              </w:rPr>
              <w:t>.08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卢曲琴</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1964</w:t>
            </w:r>
            <w:r>
              <w:rPr>
                <w:rFonts w:hint="eastAsia" w:ascii="Times New Roman" w:hAnsi="Times New Roman" w:eastAsia="仿宋" w:cs="Times New Roman"/>
                <w:sz w:val="24"/>
                <w:szCs w:val="24"/>
              </w:rPr>
              <w:t>.11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李悦</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1981</w:t>
            </w:r>
            <w:r>
              <w:rPr>
                <w:rFonts w:hint="eastAsia" w:ascii="Times New Roman" w:hAnsi="Times New Roman" w:eastAsia="仿宋" w:cs="Times New Roman"/>
                <w:sz w:val="24"/>
                <w:szCs w:val="24"/>
              </w:rPr>
              <w:t>.01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王莉</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1967</w:t>
            </w:r>
            <w:r>
              <w:rPr>
                <w:rFonts w:hint="eastAsia" w:ascii="Times New Roman" w:hAnsi="Times New Roman" w:eastAsia="仿宋" w:cs="Times New Roman"/>
                <w:sz w:val="24"/>
                <w:szCs w:val="24"/>
              </w:rPr>
              <w:t>.04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范广勤</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1964</w:t>
            </w:r>
            <w:r>
              <w:rPr>
                <w:rFonts w:hint="eastAsia" w:ascii="Times New Roman" w:hAnsi="Times New Roman" w:eastAsia="仿宋" w:cs="Times New Roman"/>
                <w:sz w:val="24"/>
                <w:szCs w:val="24"/>
              </w:rPr>
              <w:t>.04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全科医学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危丽俊</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1982</w:t>
            </w:r>
            <w:r>
              <w:rPr>
                <w:rFonts w:hint="eastAsia" w:ascii="Times New Roman" w:hAnsi="Times New Roman" w:eastAsia="仿宋" w:cs="Times New Roman"/>
                <w:sz w:val="24"/>
                <w:szCs w:val="24"/>
              </w:rPr>
              <w:t>.11</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全科医学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夏彬</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w:t>
            </w:r>
            <w:r>
              <w:rPr>
                <w:rFonts w:hint="eastAsia" w:ascii="Times New Roman" w:hAnsi="Times New Roman" w:eastAsia="仿宋" w:cs="Times New Roman"/>
                <w:sz w:val="24"/>
                <w:szCs w:val="24"/>
              </w:rPr>
              <w:t>.05</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全科医学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周繁坤</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rPr>
            </w:pPr>
            <w:r>
              <w:rPr>
                <w:rFonts w:hint="eastAsia" w:ascii="仿宋" w:hAnsi="仿宋" w:eastAsia="仿宋" w:cs="仿宋"/>
                <w:sz w:val="24"/>
                <w:szCs w:val="24"/>
                <w:lang w:bidi="ar"/>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1988</w:t>
            </w:r>
            <w:r>
              <w:rPr>
                <w:rFonts w:hint="eastAsia" w:ascii="Times New Roman" w:hAnsi="Times New Roman" w:eastAsia="仿宋" w:cs="Times New Roman"/>
                <w:sz w:val="24"/>
                <w:szCs w:val="24"/>
              </w:rPr>
              <w:t>.08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全科医学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 xml:space="preserve">复旦大学 </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肖元梅</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1967</w:t>
            </w:r>
            <w:r>
              <w:rPr>
                <w:rFonts w:hint="eastAsia" w:ascii="Times New Roman" w:hAnsi="Times New Roman" w:eastAsia="仿宋" w:cs="Times New Roman"/>
                <w:sz w:val="24"/>
                <w:szCs w:val="24"/>
              </w:rPr>
              <w:t>.08</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全科医学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复旦大学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黄河浪</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1954</w:t>
            </w:r>
            <w:r>
              <w:rPr>
                <w:rFonts w:hint="eastAsia" w:ascii="Times New Roman" w:hAnsi="Times New Roman" w:eastAsia="仿宋" w:cs="Times New Roman"/>
                <w:sz w:val="24"/>
                <w:szCs w:val="24"/>
              </w:rPr>
              <w:t>.04</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全科医学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任晓东</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1989</w:t>
            </w:r>
            <w:r>
              <w:rPr>
                <w:rFonts w:hint="eastAsia" w:ascii="Times New Roman" w:hAnsi="Times New Roman" w:eastAsia="仿宋" w:cs="Times New Roman"/>
                <w:sz w:val="24"/>
                <w:szCs w:val="24"/>
              </w:rPr>
              <w:t>.09</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全科医学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初级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both"/>
              <w:rPr>
                <w:rFonts w:ascii="Times New Roman" w:hAnsi="Times New Roman" w:eastAsia="仿宋" w:cs="Times New Roman"/>
                <w:sz w:val="24"/>
                <w:szCs w:val="24"/>
              </w:rPr>
            </w:pPr>
            <w:r>
              <w:rPr>
                <w:rFonts w:hint="eastAsia" w:ascii="仿宋" w:hAnsi="仿宋" w:eastAsia="仿宋" w:cs="仿宋"/>
                <w:sz w:val="24"/>
                <w:szCs w:val="24"/>
              </w:rPr>
              <w:t>中山大学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预防医学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仿宋" w:cs="Times New Roman"/>
                <w:sz w:val="24"/>
                <w:szCs w:val="24"/>
                <w:lang w:bidi="ar"/>
              </w:rPr>
            </w:pPr>
            <w:r>
              <w:rPr>
                <w:rFonts w:hint="eastAsia" w:ascii="仿宋" w:hAnsi="仿宋" w:eastAsia="仿宋" w:cs="仿宋"/>
                <w:sz w:val="24"/>
                <w:szCs w:val="24"/>
                <w:lang w:bidi="ar"/>
              </w:rPr>
              <w:t>张泽玮</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1990</w:t>
            </w:r>
            <w:r>
              <w:rPr>
                <w:rFonts w:hint="eastAsia" w:ascii="Times New Roman" w:hAnsi="Times New Roman" w:eastAsia="仿宋" w:cs="Times New Roman"/>
                <w:sz w:val="24"/>
                <w:szCs w:val="24"/>
              </w:rPr>
              <w:t>.10</w:t>
            </w:r>
          </w:p>
        </w:tc>
        <w:tc>
          <w:tcPr>
            <w:tcW w:w="1170"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医学统计学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hint="eastAsia" w:ascii="仿宋" w:hAnsi="仿宋" w:eastAsia="仿宋" w:cs="仿宋"/>
                <w:sz w:val="24"/>
                <w:szCs w:val="24"/>
              </w:rPr>
              <w:t>公共卫生学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余树春</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1971.10</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蔡俊赢</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1980.11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周志东</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1976.08</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赵黎丽</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1981.01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陈月生</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1981</w:t>
            </w:r>
            <w:r>
              <w:rPr>
                <w:rFonts w:hint="eastAsia" w:ascii="Times New Roman" w:hAnsi="Times New Roman" w:eastAsia="仿宋" w:cs="Times New Roman"/>
                <w:sz w:val="24"/>
                <w:szCs w:val="24"/>
              </w:rPr>
              <w:t>.01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廖晓勇</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1978</w:t>
            </w:r>
            <w:r>
              <w:rPr>
                <w:rFonts w:hint="eastAsia" w:ascii="Times New Roman" w:hAnsi="Times New Roman" w:eastAsia="仿宋" w:cs="Times New Roman"/>
                <w:sz w:val="24"/>
                <w:szCs w:val="24"/>
              </w:rPr>
              <w:t>.08</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吴春根</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1969.02</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吴慰芳</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1964.08</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麻醉学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张焜和</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1961.11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李菊香</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1964.09</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心血管内科</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tabs>
                <w:tab w:val="left" w:pos="211"/>
              </w:tabs>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洪葵</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1964.07</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心血管内科</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tabs>
                <w:tab w:val="left" w:pos="211"/>
              </w:tabs>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俞建华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1972.11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心血管内科</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杨人强</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1975.08</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董一飞</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1978.06</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内科学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朱正明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1969.03</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内科学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儿科学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李梦倩</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1980.05</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万爱兰</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1963.09</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中山大学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黄佳</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1980.10</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曾莉</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1963.02</w:t>
            </w:r>
          </w:p>
        </w:tc>
        <w:tc>
          <w:tcPr>
            <w:tcW w:w="1170" w:type="dxa"/>
            <w:tcBorders>
              <w:top w:val="single" w:color="auto" w:sz="4" w:space="0"/>
              <w:left w:val="single" w:color="auto" w:sz="4" w:space="0"/>
              <w:bottom w:val="single" w:color="auto" w:sz="4" w:space="0"/>
              <w:right w:val="single" w:color="auto" w:sz="4" w:space="0"/>
            </w:tcBorders>
            <w:vAlign w:val="center"/>
          </w:tcPr>
          <w:p>
            <w:pPr>
              <w:jc w:val="both"/>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喻本桐</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1969.03</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陈明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1972.11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许飞</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1973.11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精神病学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徐仁伵</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1969.05</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徐文苑</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1975.10</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方朴</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1972.01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李小兵</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1978.06</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方鑫</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1978.12</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邓丽影</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1951.12</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黄卫</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1972.09</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神经病学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朱元方</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1974.04</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刘华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1974.06</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徐春华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1975.03</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龚沂</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1975.11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谭布珍</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1964.07</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尹春华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1974.02</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金萱</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1971.01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rPr>
            </w:pPr>
            <w:r>
              <w:rPr>
                <w:rFonts w:hint="eastAsia" w:ascii="仿宋" w:hAnsi="仿宋" w:eastAsia="仿宋" w:cs="仿宋"/>
                <w:sz w:val="24"/>
                <w:szCs w:val="24"/>
                <w:lang w:bidi="ar"/>
              </w:rPr>
              <w:t>妇产科学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黄亮</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1963.01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lang w:bidi="ar"/>
              </w:rPr>
            </w:pPr>
            <w:r>
              <w:rPr>
                <w:rFonts w:hint="eastAsia" w:ascii="仿宋" w:hAnsi="仿宋" w:eastAsia="仿宋" w:cs="仿宋"/>
                <w:sz w:val="24"/>
                <w:szCs w:val="24"/>
                <w:lang w:bidi="ar"/>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周从阳</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1964.09</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肖声平</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1972.01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陶少宇</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1973.01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何显炬</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1981.03</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临床医学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学士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李国平</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1956.11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852"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范骏</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1964.06</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急诊医学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潘淑婷</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1988.03</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初级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首都医科大学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邱嘉旋</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1963.09</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正高级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江西医学院</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宋莉</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1969.02</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武汉大学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牙周病学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牙周病学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邹海啸</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1985.12</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武汉大学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口腔颌面外科</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口腔颌面外科</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吴婧婷</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1988.11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李慧</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1987.08</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Times New Roman" w:hAnsi="Times New Roman" w:eastAsia="仿宋" w:cs="Times New Roman"/>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Times New Roman" w:hAnsi="Times New Roman" w:eastAsia="仿宋" w:cs="Times New Roman"/>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口腔医学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Times New Roman" w:hAnsi="Times New Roman" w:eastAsia="仿宋" w:cs="Times New Roman"/>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Times New Roman" w:hAnsi="Times New Roman" w:eastAsia="仿宋" w:cs="Times New Roman"/>
                <w:sz w:val="24"/>
                <w:szCs w:val="24"/>
                <w:lang w:bidi="ar"/>
              </w:rPr>
            </w:pPr>
            <w:r>
              <w:rPr>
                <w:rFonts w:hint="eastAsia" w:ascii="仿宋" w:hAnsi="仿宋" w:eastAsia="仿宋" w:cs="仿宋"/>
                <w:sz w:val="24"/>
                <w:szCs w:val="24"/>
                <w:lang w:bidi="ar"/>
              </w:rPr>
              <w:t>口腔医学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Times New Roman" w:hAnsi="Times New Roman" w:eastAsia="仿宋" w:cs="Times New Roman"/>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叶菁</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1976.09</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副高级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仿宋" w:hAnsi="仿宋" w:eastAsia="仿宋" w:cs="仿宋"/>
                <w:sz w:val="24"/>
                <w:szCs w:val="24"/>
              </w:rPr>
            </w:pPr>
            <w:r>
              <w:rPr>
                <w:rFonts w:hint="eastAsia" w:ascii="仿宋" w:hAnsi="仿宋" w:eastAsia="仿宋" w:cs="仿宋"/>
                <w:sz w:val="24"/>
                <w:szCs w:val="24"/>
              </w:rPr>
              <w:t>湘雅医院</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杨春平</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1972.05</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副教授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仿宋" w:hAnsi="仿宋" w:eastAsia="仿宋" w:cs="仿宋"/>
                <w:sz w:val="24"/>
                <w:szCs w:val="24"/>
              </w:rPr>
            </w:pPr>
            <w:r>
              <w:rPr>
                <w:rFonts w:hint="eastAsia" w:ascii="仿宋" w:hAnsi="仿宋" w:eastAsia="仿宋" w:cs="仿宋"/>
                <w:sz w:val="24"/>
                <w:szCs w:val="24"/>
              </w:rPr>
              <w:t>同济大学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罗庆</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1980.10</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仿宋" w:hAnsi="仿宋" w:eastAsia="仿宋" w:cs="仿宋"/>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李俐华</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1983.10</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讲师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仿宋" w:hAnsi="仿宋" w:eastAsia="仿宋" w:cs="仿宋"/>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刘月辉</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1964.08</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教授</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仿宋" w:hAnsi="仿宋" w:eastAsia="仿宋" w:cs="仿宋"/>
                <w:sz w:val="24"/>
                <w:szCs w:val="24"/>
              </w:rPr>
            </w:pPr>
            <w:r>
              <w:rPr>
                <w:rFonts w:hint="eastAsia" w:ascii="仿宋" w:hAnsi="仿宋" w:eastAsia="仿宋" w:cs="仿宋"/>
                <w:sz w:val="24"/>
                <w:szCs w:val="24"/>
              </w:rPr>
              <w:t>中山大学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博士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黄小燕</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女</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1986.04</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仿宋" w:hAnsi="仿宋" w:eastAsia="仿宋" w:cs="仿宋"/>
                <w:sz w:val="24"/>
                <w:szCs w:val="24"/>
              </w:rPr>
            </w:pPr>
            <w:r>
              <w:rPr>
                <w:rFonts w:hint="eastAsia" w:ascii="仿宋" w:hAnsi="仿宋" w:eastAsia="仿宋" w:cs="仿宋"/>
                <w:sz w:val="24"/>
                <w:szCs w:val="24"/>
              </w:rPr>
              <w:t>南昌大学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仿宋" w:hAnsi="仿宋" w:eastAsia="仿宋" w:cs="仿宋"/>
                <w:sz w:val="24"/>
                <w:szCs w:val="24"/>
              </w:rPr>
            </w:pPr>
            <w:r>
              <w:rPr>
                <w:rFonts w:hint="eastAsia" w:ascii="仿宋" w:hAnsi="仿宋" w:eastAsia="仿宋" w:cs="仿宋"/>
                <w:sz w:val="24"/>
                <w:szCs w:val="24"/>
              </w:rPr>
              <w:t>专职</w:t>
            </w:r>
          </w:p>
        </w:tc>
      </w:tr>
      <w:tr>
        <w:tblPrEx>
          <w:tblLayout w:type="fixed"/>
          <w:tblCellMar>
            <w:top w:w="117" w:type="dxa"/>
            <w:left w:w="91" w:type="dxa"/>
            <w:bottom w:w="49" w:type="dxa"/>
            <w:right w:w="29" w:type="dxa"/>
          </w:tblCellMar>
        </w:tblPrEx>
        <w:trPr>
          <w:trHeight w:val="49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曾亮</w:t>
            </w:r>
          </w:p>
        </w:tc>
        <w:tc>
          <w:tcPr>
            <w:tcW w:w="467"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男</w:t>
            </w:r>
          </w:p>
        </w:tc>
        <w:tc>
          <w:tcPr>
            <w:tcW w:w="718"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9"/>
              <w:jc w:val="center"/>
              <w:rPr>
                <w:rFonts w:ascii="Times New Roman" w:hAnsi="Times New Roman" w:eastAsia="仿宋" w:cs="Times New Roman"/>
                <w:sz w:val="24"/>
                <w:szCs w:val="24"/>
              </w:rPr>
            </w:pPr>
            <w:r>
              <w:rPr>
                <w:rFonts w:ascii="Times New Roman" w:hAnsi="Times New Roman" w:eastAsia="仿宋" w:cs="Times New Roman"/>
                <w:sz w:val="24"/>
                <w:szCs w:val="24"/>
              </w:rPr>
              <w:t>1985.06</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961"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7"/>
              <w:jc w:val="center"/>
              <w:rPr>
                <w:rFonts w:ascii="仿宋" w:hAnsi="仿宋" w:eastAsia="仿宋" w:cs="仿宋"/>
                <w:sz w:val="24"/>
                <w:szCs w:val="24"/>
              </w:rPr>
            </w:pPr>
            <w:r>
              <w:rPr>
                <w:rFonts w:hint="eastAsia" w:ascii="仿宋" w:hAnsi="仿宋" w:eastAsia="仿宋" w:cs="仿宋"/>
                <w:sz w:val="24"/>
                <w:szCs w:val="24"/>
              </w:rPr>
              <w:t>中级</w:t>
            </w:r>
          </w:p>
        </w:tc>
        <w:tc>
          <w:tcPr>
            <w:tcW w:w="1262"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2"/>
              <w:jc w:val="center"/>
              <w:rPr>
                <w:rFonts w:ascii="仿宋" w:hAnsi="仿宋" w:eastAsia="仿宋" w:cs="仿宋"/>
                <w:sz w:val="24"/>
                <w:szCs w:val="24"/>
              </w:rPr>
            </w:pPr>
            <w:r>
              <w:rPr>
                <w:rFonts w:hint="eastAsia" w:ascii="仿宋" w:hAnsi="仿宋" w:eastAsia="仿宋" w:cs="仿宋"/>
                <w:sz w:val="24"/>
                <w:szCs w:val="24"/>
              </w:rPr>
              <w:t>上海交通大学</w:t>
            </w:r>
          </w:p>
        </w:tc>
        <w:tc>
          <w:tcPr>
            <w:tcW w:w="1238"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784"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4"/>
              <w:jc w:val="center"/>
              <w:rPr>
                <w:rFonts w:ascii="仿宋" w:hAnsi="仿宋" w:eastAsia="仿宋" w:cs="仿宋"/>
                <w:sz w:val="24"/>
                <w:szCs w:val="24"/>
              </w:rPr>
            </w:pPr>
            <w:r>
              <w:rPr>
                <w:rFonts w:hint="eastAsia" w:ascii="仿宋" w:hAnsi="仿宋" w:eastAsia="仿宋" w:cs="仿宋"/>
                <w:sz w:val="24"/>
                <w:szCs w:val="24"/>
              </w:rPr>
              <w:t>硕士</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textAlignment w:val="bottom"/>
              <w:rPr>
                <w:rFonts w:ascii="仿宋" w:hAnsi="仿宋" w:eastAsia="仿宋" w:cs="仿宋"/>
                <w:sz w:val="24"/>
                <w:szCs w:val="24"/>
                <w:lang w:bidi="ar"/>
              </w:rPr>
            </w:pPr>
            <w:r>
              <w:rPr>
                <w:rFonts w:hint="eastAsia" w:ascii="仿宋" w:hAnsi="仿宋" w:eastAsia="仿宋" w:cs="仿宋"/>
                <w:sz w:val="24"/>
                <w:szCs w:val="24"/>
                <w:lang w:bidi="ar"/>
              </w:rPr>
              <w:t>耳鼻咽喉科学</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ind w:right="5"/>
              <w:jc w:val="center"/>
              <w:rPr>
                <w:rFonts w:ascii="仿宋" w:hAnsi="仿宋" w:eastAsia="仿宋" w:cs="仿宋"/>
                <w:sz w:val="24"/>
                <w:szCs w:val="24"/>
              </w:rPr>
            </w:pPr>
            <w:r>
              <w:rPr>
                <w:rFonts w:hint="eastAsia" w:ascii="仿宋" w:hAnsi="仿宋" w:eastAsia="仿宋" w:cs="仿宋"/>
                <w:sz w:val="24"/>
                <w:szCs w:val="24"/>
              </w:rPr>
              <w:t>专职</w:t>
            </w:r>
          </w:p>
        </w:tc>
      </w:tr>
    </w:tbl>
    <w:p>
      <w:pPr>
        <w:spacing w:after="0"/>
        <w:ind w:left="450" w:hanging="10"/>
        <w:rPr>
          <w:rFonts w:ascii="微软雅黑" w:hAnsi="微软雅黑" w:eastAsia="微软雅黑" w:cs="微软雅黑"/>
          <w:sz w:val="28"/>
        </w:rPr>
      </w:pPr>
    </w:p>
    <w:p>
      <w:pPr>
        <w:spacing w:after="0"/>
        <w:ind w:left="450" w:hanging="10"/>
      </w:pPr>
      <w:r>
        <w:rPr>
          <w:rFonts w:ascii="微软雅黑" w:hAnsi="微软雅黑" w:eastAsia="微软雅黑" w:cs="微软雅黑"/>
          <w:sz w:val="28"/>
        </w:rPr>
        <w:t>4.3专业核心课程表</w:t>
      </w:r>
      <w:r>
        <w:rPr>
          <w:rFonts w:ascii="微软雅黑" w:hAnsi="微软雅黑" w:eastAsia="微软雅黑" w:cs="微软雅黑"/>
          <w:sz w:val="24"/>
        </w:rPr>
        <w:t xml:space="preserve">（以下表格数据由学校填写） </w:t>
      </w:r>
    </w:p>
    <w:tbl>
      <w:tblPr>
        <w:tblStyle w:val="16"/>
        <w:tblW w:w="10545" w:type="dxa"/>
        <w:jc w:val="center"/>
        <w:tblInd w:w="0" w:type="dxa"/>
        <w:tblLayout w:type="fixed"/>
        <w:tblCellMar>
          <w:top w:w="0" w:type="dxa"/>
          <w:left w:w="166" w:type="dxa"/>
          <w:bottom w:w="49" w:type="dxa"/>
          <w:right w:w="113" w:type="dxa"/>
        </w:tblCellMar>
      </w:tblPr>
      <w:tblGrid>
        <w:gridCol w:w="818"/>
        <w:gridCol w:w="2730"/>
        <w:gridCol w:w="1215"/>
        <w:gridCol w:w="1245"/>
        <w:gridCol w:w="3442"/>
        <w:gridCol w:w="1095"/>
      </w:tblGrid>
      <w:tr>
        <w:tblPrEx>
          <w:tblLayout w:type="fixed"/>
          <w:tblCellMar>
            <w:top w:w="0" w:type="dxa"/>
            <w:left w:w="166" w:type="dxa"/>
            <w:bottom w:w="49" w:type="dxa"/>
            <w:right w:w="113" w:type="dxa"/>
          </w:tblCellMar>
        </w:tblPrEx>
        <w:trPr>
          <w:trHeight w:val="862" w:hRule="atLeast"/>
          <w:jc w:val="center"/>
        </w:trPr>
        <w:tc>
          <w:tcPr>
            <w:tcW w:w="8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3"/>
              <w:jc w:val="center"/>
              <w:rPr>
                <w:rFonts w:ascii="仿宋" w:hAnsi="仿宋" w:eastAsia="仿宋" w:cs="仿宋"/>
                <w:sz w:val="24"/>
              </w:rPr>
            </w:pPr>
            <w:r>
              <w:rPr>
                <w:rFonts w:hint="eastAsia" w:ascii="仿宋" w:hAnsi="仿宋" w:eastAsia="仿宋" w:cs="仿宋"/>
                <w:sz w:val="24"/>
              </w:rPr>
              <w:t>序号</w:t>
            </w:r>
          </w:p>
        </w:tc>
        <w:tc>
          <w:tcPr>
            <w:tcW w:w="273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3"/>
              <w:jc w:val="center"/>
              <w:rPr>
                <w:rFonts w:ascii="仿宋" w:hAnsi="仿宋" w:eastAsia="仿宋" w:cs="仿宋"/>
              </w:rPr>
            </w:pPr>
            <w:r>
              <w:rPr>
                <w:rFonts w:hint="eastAsia" w:ascii="仿宋" w:hAnsi="仿宋" w:eastAsia="仿宋" w:cs="仿宋"/>
                <w:sz w:val="24"/>
              </w:rPr>
              <w:t xml:space="preserve">课程名称 </w:t>
            </w:r>
          </w:p>
        </w:tc>
        <w:tc>
          <w:tcPr>
            <w:tcW w:w="121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rPr>
            </w:pPr>
            <w:r>
              <w:rPr>
                <w:rFonts w:hint="eastAsia" w:ascii="仿宋" w:hAnsi="仿宋" w:eastAsia="仿宋" w:cs="仿宋"/>
                <w:sz w:val="24"/>
              </w:rPr>
              <w:t xml:space="preserve">课程总学时 </w:t>
            </w:r>
          </w:p>
        </w:tc>
        <w:tc>
          <w:tcPr>
            <w:tcW w:w="124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仿宋" w:hAnsi="仿宋" w:eastAsia="仿宋" w:cs="仿宋"/>
              </w:rPr>
            </w:pPr>
            <w:r>
              <w:rPr>
                <w:rFonts w:hint="eastAsia" w:ascii="仿宋" w:hAnsi="仿宋" w:eastAsia="仿宋" w:cs="仿宋"/>
                <w:sz w:val="24"/>
              </w:rPr>
              <w:t xml:space="preserve">课程周学时 </w:t>
            </w:r>
          </w:p>
        </w:tc>
        <w:tc>
          <w:tcPr>
            <w:tcW w:w="344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8"/>
              <w:jc w:val="center"/>
              <w:rPr>
                <w:rFonts w:ascii="仿宋" w:hAnsi="仿宋" w:eastAsia="仿宋" w:cs="仿宋"/>
              </w:rPr>
            </w:pPr>
            <w:r>
              <w:rPr>
                <w:rFonts w:hint="eastAsia" w:ascii="仿宋" w:hAnsi="仿宋" w:eastAsia="仿宋" w:cs="仿宋"/>
                <w:sz w:val="24"/>
              </w:rPr>
              <w:t xml:space="preserve">拟授课教师 </w:t>
            </w:r>
          </w:p>
        </w:tc>
        <w:tc>
          <w:tcPr>
            <w:tcW w:w="109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both"/>
              <w:rPr>
                <w:rFonts w:ascii="仿宋" w:hAnsi="仿宋" w:eastAsia="仿宋" w:cs="仿宋"/>
              </w:rPr>
            </w:pPr>
            <w:r>
              <w:rPr>
                <w:rFonts w:hint="eastAsia" w:ascii="仿宋" w:hAnsi="仿宋" w:eastAsia="仿宋" w:cs="仿宋"/>
                <w:sz w:val="24"/>
              </w:rPr>
              <w:t xml:space="preserve">授课学期 </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1</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组织学与组织病理学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64</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4</w:t>
            </w:r>
          </w:p>
        </w:tc>
        <w:tc>
          <w:tcPr>
            <w:tcW w:w="3442"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2"/>
              <w:rPr>
                <w:rFonts w:ascii="Times New Roman" w:hAnsi="Times New Roman" w:eastAsia="仿宋" w:cs="Times New Roman"/>
                <w:sz w:val="24"/>
                <w:szCs w:val="24"/>
              </w:rPr>
            </w:pPr>
            <w:r>
              <w:rPr>
                <w:rFonts w:ascii="Times New Roman" w:hAnsi="Times New Roman" w:eastAsia="仿宋" w:cs="Times New Roman"/>
                <w:sz w:val="24"/>
                <w:szCs w:val="24"/>
              </w:rPr>
              <w:t>陈红平、罗琪、周莹</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1</w:t>
            </w:r>
          </w:p>
        </w:tc>
      </w:tr>
      <w:tr>
        <w:tblPrEx>
          <w:tblLayout w:type="fixed"/>
          <w:tblCellMar>
            <w:top w:w="0" w:type="dxa"/>
            <w:left w:w="166" w:type="dxa"/>
            <w:bottom w:w="49" w:type="dxa"/>
            <w:right w:w="113" w:type="dxa"/>
          </w:tblCellMar>
        </w:tblPrEx>
        <w:trPr>
          <w:trHeight w:val="492"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2</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人体细胞</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96</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6</w:t>
            </w:r>
          </w:p>
        </w:tc>
        <w:tc>
          <w:tcPr>
            <w:tcW w:w="344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rPr>
                <w:rFonts w:ascii="Times New Roman" w:hAnsi="Times New Roman" w:eastAsia="仿宋" w:cs="Times New Roman"/>
                <w:sz w:val="24"/>
                <w:szCs w:val="24"/>
              </w:rPr>
            </w:pPr>
            <w:r>
              <w:rPr>
                <w:rFonts w:ascii="Times New Roman" w:hAnsi="Times New Roman" w:eastAsia="仿宋" w:cs="Times New Roman"/>
                <w:sz w:val="24"/>
                <w:szCs w:val="24"/>
              </w:rPr>
              <w:t>Maria Isabel Palacios De Castro、Detina  Zalli、Mark Kristen Maconochie、Carles Gaston Massuet</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1</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3</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生理学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112</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7</w:t>
            </w:r>
          </w:p>
        </w:tc>
        <w:tc>
          <w:tcPr>
            <w:tcW w:w="3442"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2"/>
              <w:rPr>
                <w:rFonts w:ascii="Times New Roman" w:hAnsi="Times New Roman" w:eastAsia="仿宋" w:cs="Times New Roman"/>
                <w:sz w:val="24"/>
                <w:szCs w:val="24"/>
              </w:rPr>
            </w:pPr>
            <w:r>
              <w:rPr>
                <w:rFonts w:ascii="Times New Roman" w:hAnsi="Times New Roman" w:eastAsia="仿宋" w:cs="Times New Roman"/>
                <w:sz w:val="24"/>
                <w:szCs w:val="24"/>
              </w:rPr>
              <w:t>杨树龙、王晶磊、魏洁、邹惟莹、罗时文、杨建华</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2</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4</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基础医学遗传学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96</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6</w:t>
            </w:r>
          </w:p>
        </w:tc>
        <w:tc>
          <w:tcPr>
            <w:tcW w:w="344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7"/>
              <w:rPr>
                <w:rFonts w:ascii="Times New Roman" w:hAnsi="Times New Roman" w:eastAsia="仿宋" w:cs="Times New Roman"/>
                <w:sz w:val="24"/>
                <w:szCs w:val="24"/>
              </w:rPr>
            </w:pPr>
            <w:r>
              <w:rPr>
                <w:rFonts w:ascii="Times New Roman" w:hAnsi="Times New Roman" w:eastAsia="仿宋" w:cs="Times New Roman"/>
                <w:sz w:val="24"/>
                <w:szCs w:val="24"/>
              </w:rPr>
              <w:t>Rosemary Kathleen Clyne、Caudron Fabrice、Caroline Brenan</w:t>
            </w:r>
            <w:r>
              <w:rPr>
                <w:rFonts w:hint="eastAsia" w:ascii="Times New Roman" w:hAnsi="Times New Roman" w:eastAsia="仿宋" w:cs="Times New Roman"/>
                <w:sz w:val="24"/>
                <w:szCs w:val="24"/>
              </w:rPr>
              <w:t>、李刚、匡渤海、江龙</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2</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5</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人体解剖学I</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152</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9.5</w:t>
            </w:r>
          </w:p>
        </w:tc>
        <w:tc>
          <w:tcPr>
            <w:tcW w:w="344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jc w:val="both"/>
              <w:rPr>
                <w:rFonts w:ascii="Times New Roman" w:hAnsi="Times New Roman" w:eastAsia="仿宋" w:cs="Times New Roman"/>
                <w:sz w:val="24"/>
                <w:szCs w:val="24"/>
              </w:rPr>
            </w:pPr>
            <w:r>
              <w:rPr>
                <w:rFonts w:ascii="Times New Roman" w:hAnsi="Times New Roman" w:eastAsia="仿宋" w:cs="Times New Roman"/>
                <w:sz w:val="24"/>
                <w:szCs w:val="24"/>
              </w:rPr>
              <w:t>万斌、刘曾旭、华萍、胡小令、</w:t>
            </w:r>
            <w:r>
              <w:rPr>
                <w:rFonts w:ascii="Times New Roman" w:hAnsi="Times New Roman" w:eastAsia="仿宋" w:cs="Times New Roman"/>
                <w:sz w:val="24"/>
                <w:szCs w:val="24"/>
                <w:lang w:bidi="ar"/>
              </w:rPr>
              <w:t>吕诚、熊俊平、薛国勇、李耀斌、伍洪昊、祝高春、马建敏、杨宝林、聂菁</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夏2</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6</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病理生理学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36</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2.5</w:t>
            </w:r>
          </w:p>
        </w:tc>
        <w:tc>
          <w:tcPr>
            <w:tcW w:w="344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rPr>
                <w:rFonts w:ascii="Times New Roman" w:hAnsi="Times New Roman" w:eastAsia="仿宋" w:cs="Times New Roman"/>
                <w:sz w:val="24"/>
                <w:szCs w:val="24"/>
              </w:rPr>
            </w:pPr>
            <w:r>
              <w:rPr>
                <w:rFonts w:ascii="Times New Roman" w:hAnsi="Times New Roman" w:eastAsia="仿宋" w:cs="Times New Roman"/>
                <w:sz w:val="24"/>
                <w:szCs w:val="24"/>
              </w:rPr>
              <w:t>应颖、晏浩、王红梅、胡贞贞、蔡震宇、熊丽霞、林辉</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夏2</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7</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生命生物分子</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96</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6</w:t>
            </w:r>
          </w:p>
        </w:tc>
        <w:tc>
          <w:tcPr>
            <w:tcW w:w="344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
              <w:rPr>
                <w:rFonts w:ascii="Times New Roman" w:hAnsi="Times New Roman" w:eastAsia="仿宋" w:cs="Times New Roman"/>
                <w:sz w:val="24"/>
                <w:szCs w:val="24"/>
              </w:rPr>
            </w:pPr>
            <w:r>
              <w:rPr>
                <w:rFonts w:ascii="Times New Roman" w:hAnsi="Times New Roman" w:eastAsia="仿宋" w:cs="Times New Roman"/>
                <w:sz w:val="24"/>
                <w:szCs w:val="24"/>
              </w:rPr>
              <w:t>John Viles、罗达亚、胡晓鹃、石林波、熊向阳、颜念龙、应牡英、朱春潮、刘丽乔</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3</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8</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病原生物学（I）（医学微生物学）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52</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3.5</w:t>
            </w:r>
          </w:p>
        </w:tc>
        <w:tc>
          <w:tcPr>
            <w:tcW w:w="3442" w:type="dxa"/>
            <w:tcBorders>
              <w:top w:val="single" w:color="000000" w:sz="4" w:space="0"/>
              <w:left w:val="single" w:color="000000" w:sz="4" w:space="0"/>
              <w:bottom w:val="single" w:color="000000" w:sz="4" w:space="0"/>
              <w:right w:val="single" w:color="000000" w:sz="4" w:space="0"/>
            </w:tcBorders>
          </w:tcPr>
          <w:p>
            <w:pPr>
              <w:spacing w:after="0" w:line="240" w:lineRule="auto"/>
              <w:ind w:right="4"/>
              <w:rPr>
                <w:rFonts w:ascii="Times New Roman" w:hAnsi="Times New Roman" w:eastAsia="仿宋" w:cs="Times New Roman"/>
                <w:sz w:val="24"/>
                <w:szCs w:val="24"/>
              </w:rPr>
            </w:pPr>
            <w:r>
              <w:rPr>
                <w:rFonts w:ascii="Times New Roman" w:hAnsi="Times New Roman" w:eastAsia="仿宋" w:cs="Times New Roman"/>
                <w:sz w:val="24"/>
                <w:szCs w:val="24"/>
              </w:rPr>
              <w:t>刘金辉、李蓉、刘琼、王静、宋况余、夏燕华</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4</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9</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基础免疫学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96</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6</w:t>
            </w:r>
          </w:p>
        </w:tc>
        <w:tc>
          <w:tcPr>
            <w:tcW w:w="3442" w:type="dxa"/>
            <w:tcBorders>
              <w:top w:val="single" w:color="000000" w:sz="4" w:space="0"/>
              <w:left w:val="single" w:color="000000" w:sz="4" w:space="0"/>
              <w:bottom w:val="single" w:color="000000" w:sz="4" w:space="0"/>
              <w:right w:val="single" w:color="000000" w:sz="4" w:space="0"/>
            </w:tcBorders>
          </w:tcPr>
          <w:p>
            <w:pPr>
              <w:spacing w:after="0" w:line="240" w:lineRule="auto"/>
              <w:ind w:right="4"/>
              <w:rPr>
                <w:rFonts w:ascii="Times New Roman" w:hAnsi="Times New Roman" w:eastAsia="仿宋" w:cs="Times New Roman"/>
                <w:sz w:val="24"/>
                <w:szCs w:val="24"/>
              </w:rPr>
            </w:pPr>
            <w:r>
              <w:rPr>
                <w:rFonts w:ascii="Times New Roman" w:hAnsi="Times New Roman" w:eastAsia="仿宋" w:cs="Times New Roman"/>
                <w:sz w:val="24"/>
                <w:szCs w:val="24"/>
              </w:rPr>
              <w:t>Thomas MacDonald、</w:t>
            </w:r>
          </w:p>
          <w:p>
            <w:pPr>
              <w:spacing w:after="0" w:line="240" w:lineRule="auto"/>
              <w:ind w:right="4"/>
              <w:rPr>
                <w:rFonts w:ascii="Times New Roman" w:hAnsi="Times New Roman" w:eastAsia="仿宋" w:cs="Times New Roman"/>
                <w:sz w:val="24"/>
                <w:szCs w:val="24"/>
              </w:rPr>
            </w:pPr>
            <w:r>
              <w:rPr>
                <w:rFonts w:ascii="Times New Roman" w:hAnsi="Times New Roman" w:eastAsia="仿宋" w:cs="Times New Roman"/>
                <w:sz w:val="24"/>
                <w:szCs w:val="24"/>
              </w:rPr>
              <w:t>Daniel Pennington、施桥发、曾小平</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4</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10</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基础和应用药理学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96</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6</w:t>
            </w:r>
          </w:p>
        </w:tc>
        <w:tc>
          <w:tcPr>
            <w:tcW w:w="3442" w:type="dxa"/>
            <w:tcBorders>
              <w:top w:val="single" w:color="000000" w:sz="4" w:space="0"/>
              <w:left w:val="single" w:color="000000" w:sz="4" w:space="0"/>
              <w:bottom w:val="single" w:color="000000" w:sz="4" w:space="0"/>
              <w:right w:val="single" w:color="000000" w:sz="4" w:space="0"/>
            </w:tcBorders>
          </w:tcPr>
          <w:p>
            <w:pPr>
              <w:spacing w:after="0" w:line="240" w:lineRule="auto"/>
              <w:ind w:right="4"/>
              <w:rPr>
                <w:rFonts w:ascii="Times New Roman" w:hAnsi="Times New Roman" w:eastAsia="仿宋" w:cs="Times New Roman"/>
                <w:sz w:val="24"/>
                <w:szCs w:val="24"/>
              </w:rPr>
            </w:pPr>
            <w:r>
              <w:rPr>
                <w:rFonts w:ascii="Times New Roman" w:hAnsi="Times New Roman" w:eastAsia="仿宋" w:cs="Times New Roman"/>
                <w:sz w:val="24"/>
                <w:szCs w:val="24"/>
              </w:rPr>
              <w:t>Kok Choi   Kong、Li Jiejing、Marina Resmin</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32"/>
                <w:szCs w:val="32"/>
              </w:rPr>
              <w:t>4</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11</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全科医学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32</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2</w:t>
            </w:r>
          </w:p>
        </w:tc>
        <w:tc>
          <w:tcPr>
            <w:tcW w:w="3442" w:type="dxa"/>
            <w:tcBorders>
              <w:top w:val="single" w:color="000000" w:sz="4" w:space="0"/>
              <w:left w:val="single" w:color="000000" w:sz="4" w:space="0"/>
              <w:bottom w:val="single" w:color="000000" w:sz="4" w:space="0"/>
              <w:right w:val="single" w:color="000000" w:sz="4" w:space="0"/>
            </w:tcBorders>
            <w:vAlign w:val="bottom"/>
          </w:tcPr>
          <w:p>
            <w:pPr>
              <w:textAlignment w:val="bottom"/>
              <w:rPr>
                <w:rFonts w:ascii="Times New Roman" w:hAnsi="Times New Roman" w:eastAsia="仿宋" w:cs="Times New Roman"/>
                <w:sz w:val="24"/>
                <w:szCs w:val="24"/>
                <w:highlight w:val="cyan"/>
              </w:rPr>
            </w:pPr>
            <w:r>
              <w:rPr>
                <w:rFonts w:ascii="Times New Roman" w:hAnsi="Times New Roman" w:eastAsia="仿宋" w:cs="Times New Roman"/>
                <w:sz w:val="24"/>
                <w:szCs w:val="24"/>
                <w:lang w:bidi="ar"/>
              </w:rPr>
              <w:t>范广勤、危丽俊、夏彬、周繁坤、肖元梅、黄河浪、任晓东</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夏4</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12</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诊断学（I）</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72</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4.5</w:t>
            </w:r>
          </w:p>
        </w:tc>
        <w:tc>
          <w:tcPr>
            <w:tcW w:w="3442" w:type="dxa"/>
            <w:tcBorders>
              <w:top w:val="single" w:color="000000" w:sz="4" w:space="0"/>
              <w:left w:val="single" w:color="000000" w:sz="4" w:space="0"/>
              <w:bottom w:val="single" w:color="000000" w:sz="4" w:space="0"/>
              <w:right w:val="single" w:color="000000" w:sz="4" w:space="0"/>
            </w:tcBorders>
          </w:tcPr>
          <w:p>
            <w:pPr>
              <w:spacing w:after="0" w:line="240" w:lineRule="auto"/>
              <w:ind w:right="4"/>
              <w:rPr>
                <w:rFonts w:ascii="Times New Roman" w:hAnsi="Times New Roman" w:eastAsia="仿宋" w:cs="Times New Roman"/>
                <w:sz w:val="24"/>
                <w:szCs w:val="24"/>
                <w:highlight w:val="cyan"/>
              </w:rPr>
            </w:pPr>
            <w:r>
              <w:rPr>
                <w:rFonts w:ascii="Times New Roman" w:hAnsi="Times New Roman" w:eastAsia="仿宋" w:cs="Times New Roman"/>
                <w:sz w:val="24"/>
                <w:szCs w:val="24"/>
              </w:rPr>
              <w:t>胡美迪、游宇、李萍、文渊、丁浩、郭治彬、章杨龙</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6</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13</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外科学总论（I）</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67</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4</w:t>
            </w:r>
          </w:p>
        </w:tc>
        <w:tc>
          <w:tcPr>
            <w:tcW w:w="3442" w:type="dxa"/>
            <w:tcBorders>
              <w:top w:val="single" w:color="000000" w:sz="4" w:space="0"/>
              <w:left w:val="single" w:color="000000" w:sz="4" w:space="0"/>
              <w:bottom w:val="single" w:color="000000" w:sz="4" w:space="0"/>
              <w:right w:val="single" w:color="000000" w:sz="4" w:space="0"/>
            </w:tcBorders>
          </w:tcPr>
          <w:p>
            <w:pPr>
              <w:spacing w:after="0" w:line="240" w:lineRule="auto"/>
              <w:ind w:right="4"/>
              <w:rPr>
                <w:rFonts w:ascii="Times New Roman" w:hAnsi="Times New Roman" w:eastAsia="仿宋" w:cs="Times New Roman"/>
                <w:sz w:val="24"/>
                <w:szCs w:val="24"/>
                <w:highlight w:val="cyan"/>
              </w:rPr>
            </w:pPr>
            <w:r>
              <w:rPr>
                <w:rFonts w:ascii="Times New Roman" w:hAnsi="Times New Roman" w:eastAsia="仿宋" w:cs="Times New Roman"/>
                <w:sz w:val="24"/>
                <w:szCs w:val="24"/>
              </w:rPr>
              <w:t>周晓晨、黄勇、德伍、傅斌、曹毅、陈刚泉、邵强</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6</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14</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中医学（I）</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46</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3</w:t>
            </w:r>
          </w:p>
        </w:tc>
        <w:tc>
          <w:tcPr>
            <w:tcW w:w="3442" w:type="dxa"/>
            <w:tcBorders>
              <w:top w:val="single" w:color="000000" w:sz="4" w:space="0"/>
              <w:left w:val="single" w:color="000000" w:sz="4" w:space="0"/>
              <w:bottom w:val="single" w:color="000000" w:sz="4" w:space="0"/>
              <w:right w:val="single" w:color="000000" w:sz="4" w:space="0"/>
            </w:tcBorders>
          </w:tcPr>
          <w:p>
            <w:pPr>
              <w:spacing w:after="0" w:line="240" w:lineRule="auto"/>
              <w:ind w:right="4"/>
              <w:rPr>
                <w:rFonts w:ascii="Times New Roman" w:hAnsi="Times New Roman" w:eastAsia="仿宋" w:cs="Times New Roman"/>
                <w:sz w:val="24"/>
                <w:szCs w:val="24"/>
                <w:highlight w:val="cyan"/>
              </w:rPr>
            </w:pPr>
            <w:r>
              <w:rPr>
                <w:rFonts w:ascii="Times New Roman" w:hAnsi="Times New Roman" w:eastAsia="仿宋" w:cs="Times New Roman"/>
                <w:sz w:val="24"/>
                <w:szCs w:val="24"/>
              </w:rPr>
              <w:t>王康、黄国栋、傅缨、廖鹏、周学明、胡志平、郭健</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夏4</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15</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麻醉学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16</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1</w:t>
            </w:r>
          </w:p>
        </w:tc>
        <w:tc>
          <w:tcPr>
            <w:tcW w:w="3442" w:type="dxa"/>
            <w:tcBorders>
              <w:top w:val="single" w:color="000000" w:sz="4" w:space="0"/>
              <w:left w:val="single" w:color="000000" w:sz="4" w:space="0"/>
              <w:bottom w:val="single" w:color="000000" w:sz="4" w:space="0"/>
              <w:right w:val="single" w:color="000000" w:sz="4" w:space="0"/>
            </w:tcBorders>
          </w:tcPr>
          <w:p>
            <w:pPr>
              <w:spacing w:after="0" w:line="240" w:lineRule="auto"/>
              <w:ind w:right="4"/>
              <w:rPr>
                <w:rFonts w:ascii="Times New Roman" w:hAnsi="Times New Roman" w:eastAsia="仿宋" w:cs="Times New Roman"/>
                <w:sz w:val="24"/>
                <w:szCs w:val="24"/>
                <w:highlight w:val="cyan"/>
              </w:rPr>
            </w:pPr>
            <w:r>
              <w:rPr>
                <w:rFonts w:ascii="Times New Roman" w:hAnsi="Times New Roman" w:eastAsia="仿宋" w:cs="Times New Roman"/>
                <w:sz w:val="24"/>
                <w:szCs w:val="24"/>
              </w:rPr>
              <w:t>余树春、蔡俊赢、周志东、赵黎丽、陈月生、廖晓勇、吴春根、吴慰芳</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7</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16</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传染病学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48</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3</w:t>
            </w:r>
          </w:p>
        </w:tc>
        <w:tc>
          <w:tcPr>
            <w:tcW w:w="3442" w:type="dxa"/>
            <w:tcBorders>
              <w:top w:val="single" w:color="000000" w:sz="4" w:space="0"/>
              <w:left w:val="single" w:color="000000" w:sz="4" w:space="0"/>
              <w:bottom w:val="single" w:color="000000" w:sz="4" w:space="0"/>
              <w:right w:val="single" w:color="000000" w:sz="4" w:space="0"/>
            </w:tcBorders>
          </w:tcPr>
          <w:p>
            <w:pPr>
              <w:spacing w:after="0" w:line="240" w:lineRule="auto"/>
              <w:ind w:right="4"/>
              <w:rPr>
                <w:rFonts w:ascii="Times New Roman" w:hAnsi="Times New Roman" w:eastAsia="仿宋" w:cs="Times New Roman"/>
                <w:sz w:val="24"/>
                <w:szCs w:val="24"/>
                <w:highlight w:val="cyan"/>
              </w:rPr>
            </w:pPr>
            <w:r>
              <w:rPr>
                <w:rFonts w:ascii="Times New Roman" w:hAnsi="Times New Roman" w:eastAsia="仿宋" w:cs="Times New Roman"/>
                <w:sz w:val="24"/>
                <w:szCs w:val="24"/>
              </w:rPr>
              <w:t>高珍、李小鹏、刘翠芸、邬小萍、向天新、葛善飞</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7</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17</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眼科学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25</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1.5</w:t>
            </w:r>
          </w:p>
        </w:tc>
        <w:tc>
          <w:tcPr>
            <w:tcW w:w="3442" w:type="dxa"/>
            <w:tcBorders>
              <w:top w:val="single" w:color="000000" w:sz="4" w:space="0"/>
              <w:left w:val="single" w:color="000000" w:sz="4" w:space="0"/>
              <w:bottom w:val="single" w:color="000000" w:sz="4" w:space="0"/>
              <w:right w:val="single" w:color="000000" w:sz="4" w:space="0"/>
            </w:tcBorders>
          </w:tcPr>
          <w:p>
            <w:pPr>
              <w:spacing w:after="0" w:line="240" w:lineRule="auto"/>
              <w:ind w:right="4"/>
              <w:rPr>
                <w:rFonts w:ascii="Times New Roman" w:hAnsi="Times New Roman" w:eastAsia="仿宋" w:cs="Times New Roman"/>
                <w:sz w:val="24"/>
                <w:szCs w:val="24"/>
                <w:highlight w:val="cyan"/>
              </w:rPr>
            </w:pPr>
            <w:r>
              <w:rPr>
                <w:rFonts w:ascii="Times New Roman" w:hAnsi="Times New Roman" w:eastAsia="仿宋" w:cs="Times New Roman"/>
                <w:sz w:val="24"/>
                <w:szCs w:val="24"/>
              </w:rPr>
              <w:t>尚蕾、韩小建、张旭、占敏艳、黄敬、王婵婵、邹琼</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7</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18</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皮肤性病学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25</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1.5</w:t>
            </w:r>
          </w:p>
        </w:tc>
        <w:tc>
          <w:tcPr>
            <w:tcW w:w="3442" w:type="dxa"/>
            <w:tcBorders>
              <w:top w:val="single" w:color="000000" w:sz="4" w:space="0"/>
              <w:left w:val="single" w:color="000000" w:sz="4" w:space="0"/>
              <w:bottom w:val="single" w:color="000000" w:sz="4" w:space="0"/>
              <w:right w:val="single" w:color="000000" w:sz="4" w:space="0"/>
            </w:tcBorders>
          </w:tcPr>
          <w:p>
            <w:pPr>
              <w:spacing w:after="0" w:line="240" w:lineRule="auto"/>
              <w:ind w:right="4"/>
              <w:rPr>
                <w:rFonts w:ascii="Times New Roman" w:hAnsi="Times New Roman" w:eastAsia="仿宋" w:cs="Times New Roman"/>
                <w:sz w:val="24"/>
                <w:szCs w:val="24"/>
                <w:highlight w:val="cyan"/>
              </w:rPr>
            </w:pPr>
            <w:r>
              <w:rPr>
                <w:rFonts w:ascii="Times New Roman" w:hAnsi="Times New Roman" w:eastAsia="仿宋" w:cs="Times New Roman"/>
                <w:sz w:val="24"/>
                <w:szCs w:val="24"/>
              </w:rPr>
              <w:t>彭亚婷、谢婷、郭竹秀、李春明、曹先伟、童建波</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7</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19</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内科学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155</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10</w:t>
            </w:r>
          </w:p>
        </w:tc>
        <w:tc>
          <w:tcPr>
            <w:tcW w:w="3442"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right="4"/>
              <w:rPr>
                <w:rFonts w:ascii="Times New Roman" w:hAnsi="Times New Roman" w:eastAsia="仿宋" w:cs="Times New Roman"/>
                <w:sz w:val="24"/>
                <w:szCs w:val="24"/>
                <w:highlight w:val="cyan"/>
              </w:rPr>
            </w:pPr>
            <w:r>
              <w:rPr>
                <w:rFonts w:ascii="Times New Roman" w:hAnsi="Times New Roman" w:eastAsia="仿宋" w:cs="Times New Roman"/>
                <w:sz w:val="24"/>
                <w:szCs w:val="24"/>
              </w:rPr>
              <w:t>邓军、陈淑云、陈俊、潘晓林、谢川、石超</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8</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20</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外科学各论</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124</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8</w:t>
            </w:r>
          </w:p>
        </w:tc>
        <w:tc>
          <w:tcPr>
            <w:tcW w:w="3442"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rPr>
                <w:rFonts w:ascii="Times New Roman" w:hAnsi="Times New Roman" w:eastAsia="仿宋" w:cs="Times New Roman"/>
                <w:sz w:val="24"/>
                <w:szCs w:val="24"/>
                <w:highlight w:val="cyan"/>
              </w:rPr>
            </w:pPr>
            <w:r>
              <w:rPr>
                <w:rFonts w:ascii="Times New Roman" w:hAnsi="Times New Roman" w:eastAsia="仿宋" w:cs="Times New Roman"/>
                <w:sz w:val="24"/>
                <w:szCs w:val="24"/>
              </w:rPr>
              <w:t>李虎、金彦召、沈威、卢国辉、付莹、万力、唐斌</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8</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21</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精神病学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27</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2</w:t>
            </w:r>
          </w:p>
        </w:tc>
        <w:tc>
          <w:tcPr>
            <w:tcW w:w="3442"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rPr>
                <w:rFonts w:ascii="Times New Roman" w:hAnsi="Times New Roman" w:eastAsia="仿宋" w:cs="Times New Roman"/>
                <w:sz w:val="24"/>
                <w:szCs w:val="24"/>
                <w:highlight w:val="cyan"/>
              </w:rPr>
            </w:pPr>
            <w:r>
              <w:rPr>
                <w:rFonts w:ascii="Times New Roman" w:hAnsi="Times New Roman" w:eastAsia="仿宋" w:cs="Times New Roman"/>
                <w:sz w:val="24"/>
                <w:szCs w:val="24"/>
              </w:rPr>
              <w:t>李梦倩、万爱兰、黄佳、曾莉、喻本桐、陈明、许飞</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8</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22</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神经病学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27</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2</w:t>
            </w:r>
          </w:p>
        </w:tc>
        <w:tc>
          <w:tcPr>
            <w:tcW w:w="3442"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rPr>
                <w:rFonts w:ascii="Times New Roman" w:hAnsi="Times New Roman" w:eastAsia="仿宋" w:cs="Times New Roman"/>
                <w:sz w:val="24"/>
                <w:szCs w:val="24"/>
                <w:highlight w:val="cyan"/>
              </w:rPr>
            </w:pPr>
            <w:r>
              <w:rPr>
                <w:rFonts w:ascii="Times New Roman" w:hAnsi="Times New Roman" w:eastAsia="仿宋" w:cs="Times New Roman"/>
                <w:sz w:val="24"/>
                <w:szCs w:val="24"/>
              </w:rPr>
              <w:t>徐仁伵、徐文苑、方朴、李小兵、方鑫、邓丽影、黄卫</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8</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23</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儿科学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60</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4</w:t>
            </w:r>
          </w:p>
        </w:tc>
        <w:tc>
          <w:tcPr>
            <w:tcW w:w="3442"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rPr>
                <w:rFonts w:ascii="Times New Roman" w:hAnsi="Times New Roman" w:eastAsia="仿宋" w:cs="Times New Roman"/>
                <w:sz w:val="24"/>
                <w:szCs w:val="24"/>
                <w:highlight w:val="cyan"/>
              </w:rPr>
            </w:pPr>
            <w:r>
              <w:rPr>
                <w:rFonts w:ascii="Times New Roman" w:hAnsi="Times New Roman" w:eastAsia="仿宋" w:cs="Times New Roman"/>
                <w:sz w:val="24"/>
                <w:szCs w:val="24"/>
              </w:rPr>
              <w:t>张焜和、李菊香、洪葵、俞建华、杨人强、董一飞、朱正明</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8</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24</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妇产科学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62</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4</w:t>
            </w:r>
          </w:p>
        </w:tc>
        <w:tc>
          <w:tcPr>
            <w:tcW w:w="3442"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rPr>
                <w:rFonts w:ascii="Times New Roman" w:hAnsi="Times New Roman" w:eastAsia="仿宋" w:cs="Times New Roman"/>
                <w:sz w:val="24"/>
                <w:szCs w:val="24"/>
                <w:highlight w:val="cyan"/>
              </w:rPr>
            </w:pPr>
            <w:r>
              <w:rPr>
                <w:rFonts w:ascii="Times New Roman" w:hAnsi="Times New Roman" w:eastAsia="仿宋" w:cs="Times New Roman"/>
                <w:sz w:val="24"/>
                <w:szCs w:val="24"/>
              </w:rPr>
              <w:t>朱元方、刘华、徐春华、龚沂、谭布珍、尹春华、金萱</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8</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25</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口腔科学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25</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1.5</w:t>
            </w:r>
          </w:p>
        </w:tc>
        <w:tc>
          <w:tcPr>
            <w:tcW w:w="3442"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rPr>
                <w:rFonts w:ascii="Times New Roman" w:hAnsi="Times New Roman" w:eastAsia="仿宋" w:cs="Times New Roman"/>
                <w:sz w:val="24"/>
                <w:szCs w:val="24"/>
                <w:highlight w:val="cyan"/>
              </w:rPr>
            </w:pPr>
            <w:r>
              <w:rPr>
                <w:rFonts w:ascii="Times New Roman" w:hAnsi="Times New Roman" w:eastAsia="仿宋" w:cs="Times New Roman"/>
                <w:sz w:val="24"/>
                <w:szCs w:val="24"/>
              </w:rPr>
              <w:t>潘淑婷、邱嘉旋、宋莉、邹海啸、吴婧婷、李慧</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8</w:t>
            </w:r>
          </w:p>
        </w:tc>
      </w:tr>
      <w:tr>
        <w:tblPrEx>
          <w:tblLayout w:type="fixed"/>
          <w:tblCellMar>
            <w:top w:w="0" w:type="dxa"/>
            <w:left w:w="166" w:type="dxa"/>
            <w:bottom w:w="49" w:type="dxa"/>
            <w:right w:w="113" w:type="dxa"/>
          </w:tblCellMar>
        </w:tblPrEx>
        <w:trPr>
          <w:trHeight w:val="490" w:hRule="atLeast"/>
          <w:jc w:val="center"/>
        </w:trPr>
        <w:tc>
          <w:tcPr>
            <w:tcW w:w="818"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26</w:t>
            </w:r>
          </w:p>
        </w:tc>
        <w:tc>
          <w:tcPr>
            <w:tcW w:w="2730"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仿宋" w:hAnsi="仿宋" w:eastAsia="仿宋" w:cs="仿宋"/>
                <w:sz w:val="26"/>
                <w:szCs w:val="26"/>
              </w:rPr>
            </w:pPr>
            <w:r>
              <w:rPr>
                <w:rFonts w:hint="eastAsia" w:ascii="仿宋" w:hAnsi="仿宋" w:eastAsia="仿宋" w:cs="仿宋"/>
                <w:sz w:val="26"/>
                <w:szCs w:val="26"/>
              </w:rPr>
              <w:t>耳鼻咽喉科学</w:t>
            </w:r>
          </w:p>
        </w:tc>
        <w:tc>
          <w:tcPr>
            <w:tcW w:w="121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7"/>
              <w:jc w:val="center"/>
              <w:rPr>
                <w:rFonts w:ascii="Times New Roman" w:hAnsi="Times New Roman" w:eastAsia="仿宋" w:cs="Times New Roman"/>
                <w:sz w:val="26"/>
                <w:szCs w:val="26"/>
              </w:rPr>
            </w:pPr>
            <w:r>
              <w:rPr>
                <w:rFonts w:ascii="Times New Roman" w:hAnsi="Times New Roman" w:eastAsia="仿宋" w:cs="Times New Roman"/>
                <w:sz w:val="26"/>
                <w:szCs w:val="26"/>
              </w:rPr>
              <w:t>25</w:t>
            </w:r>
          </w:p>
        </w:tc>
        <w:tc>
          <w:tcPr>
            <w:tcW w:w="124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jc w:val="center"/>
              <w:rPr>
                <w:rFonts w:ascii="Times New Roman" w:hAnsi="Times New Roman" w:eastAsia="仿宋" w:cs="Times New Roman"/>
                <w:sz w:val="26"/>
                <w:szCs w:val="26"/>
              </w:rPr>
            </w:pPr>
            <w:r>
              <w:rPr>
                <w:rFonts w:ascii="Times New Roman" w:hAnsi="Times New Roman" w:eastAsia="仿宋" w:cs="Times New Roman"/>
                <w:sz w:val="26"/>
                <w:szCs w:val="26"/>
              </w:rPr>
              <w:t>1.5</w:t>
            </w:r>
          </w:p>
        </w:tc>
        <w:tc>
          <w:tcPr>
            <w:tcW w:w="3442"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ind w:left="5"/>
              <w:rPr>
                <w:rFonts w:ascii="Times New Roman" w:hAnsi="Times New Roman" w:eastAsia="仿宋" w:cs="Times New Roman"/>
                <w:sz w:val="24"/>
                <w:szCs w:val="24"/>
                <w:highlight w:val="cyan"/>
              </w:rPr>
            </w:pPr>
            <w:r>
              <w:rPr>
                <w:rFonts w:ascii="Times New Roman" w:hAnsi="Times New Roman" w:eastAsia="仿宋" w:cs="Times New Roman"/>
                <w:sz w:val="24"/>
                <w:szCs w:val="24"/>
              </w:rPr>
              <w:t>叶菁、杨春平、罗庆、李俐华、刘月辉、黄小燕、曾亮</w:t>
            </w:r>
          </w:p>
        </w:tc>
        <w:tc>
          <w:tcPr>
            <w:tcW w:w="1095" w:type="dxa"/>
            <w:tcBorders>
              <w:top w:val="single" w:color="000000" w:sz="4" w:space="0"/>
              <w:left w:val="single" w:color="000000" w:sz="4" w:space="0"/>
              <w:bottom w:val="single" w:color="000000" w:sz="4" w:space="0"/>
              <w:right w:val="single" w:color="000000" w:sz="4" w:space="0"/>
            </w:tcBorders>
            <w:vAlign w:val="bottom"/>
          </w:tcPr>
          <w:p>
            <w:pPr>
              <w:spacing w:after="0" w:line="240" w:lineRule="auto"/>
              <w:jc w:val="center"/>
              <w:rPr>
                <w:rFonts w:ascii="Times New Roman" w:hAnsi="Times New Roman" w:eastAsia="仿宋" w:cs="Times New Roman"/>
                <w:sz w:val="26"/>
                <w:szCs w:val="26"/>
              </w:rPr>
            </w:pPr>
            <w:r>
              <w:rPr>
                <w:rFonts w:ascii="Times New Roman" w:hAnsi="Times New Roman" w:eastAsia="仿宋" w:cs="Times New Roman"/>
                <w:sz w:val="26"/>
                <w:szCs w:val="26"/>
              </w:rPr>
              <w:t>夏5</w:t>
            </w:r>
          </w:p>
        </w:tc>
      </w:tr>
    </w:tbl>
    <w:p>
      <w:pPr>
        <w:spacing w:after="149"/>
        <w:rPr>
          <w:rFonts w:ascii="微软雅黑" w:hAnsi="微软雅黑" w:eastAsia="微软雅黑" w:cs="微软雅黑"/>
          <w:sz w:val="36"/>
        </w:rPr>
      </w:pPr>
    </w:p>
    <w:p>
      <w:pPr>
        <w:jc w:val="center"/>
        <w:rPr>
          <w:b/>
          <w:bCs/>
          <w:sz w:val="40"/>
          <w:szCs w:val="36"/>
        </w:rPr>
      </w:pPr>
      <w:r>
        <w:rPr>
          <w:b/>
          <w:bCs/>
          <w:sz w:val="36"/>
          <w:szCs w:val="36"/>
        </w:rPr>
        <w:t>5.专业主要带头人简介</w:t>
      </w:r>
    </w:p>
    <w:p>
      <w:pPr>
        <w:spacing w:after="0"/>
        <w:ind w:left="673"/>
        <w:jc w:val="center"/>
      </w:pPr>
      <w:r>
        <w:rPr>
          <w:sz w:val="24"/>
        </w:rPr>
        <w:t xml:space="preserve"> </w:t>
      </w:r>
    </w:p>
    <w:tbl>
      <w:tblPr>
        <w:tblStyle w:val="16"/>
        <w:tblW w:w="9573" w:type="dxa"/>
        <w:jc w:val="center"/>
        <w:tblInd w:w="0" w:type="dxa"/>
        <w:tblLayout w:type="fixed"/>
        <w:tblCellMar>
          <w:top w:w="39" w:type="dxa"/>
          <w:left w:w="108" w:type="dxa"/>
          <w:bottom w:w="0" w:type="dxa"/>
          <w:right w:w="77" w:type="dxa"/>
        </w:tblCellMar>
      </w:tblPr>
      <w:tblGrid>
        <w:gridCol w:w="959"/>
        <w:gridCol w:w="1438"/>
        <w:gridCol w:w="1246"/>
        <w:gridCol w:w="762"/>
        <w:gridCol w:w="554"/>
        <w:gridCol w:w="1111"/>
        <w:gridCol w:w="1194"/>
        <w:gridCol w:w="1206"/>
        <w:gridCol w:w="1103"/>
      </w:tblGrid>
      <w:tr>
        <w:tblPrEx>
          <w:tblLayout w:type="fixed"/>
          <w:tblCellMar>
            <w:top w:w="39" w:type="dxa"/>
            <w:left w:w="108" w:type="dxa"/>
            <w:bottom w:w="0" w:type="dxa"/>
            <w:right w:w="77" w:type="dxa"/>
          </w:tblCellMar>
        </w:tblPrEx>
        <w:trPr>
          <w:trHeight w:val="1116"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32"/>
            </w:pPr>
            <w:r>
              <w:rPr>
                <w:rFonts w:ascii="微软雅黑" w:hAnsi="微软雅黑" w:eastAsia="微软雅黑" w:cs="微软雅黑"/>
                <w:sz w:val="24"/>
              </w:rPr>
              <w:t>姓名</w:t>
            </w:r>
            <w:r>
              <w:rPr>
                <w:rFonts w:ascii="Times New Roman" w:hAnsi="Times New Roman" w:eastAsia="Times New Roman" w:cs="Times New Roman"/>
                <w:sz w:val="24"/>
              </w:rPr>
              <w:t xml:space="preserve"> </w:t>
            </w:r>
          </w:p>
        </w:tc>
        <w:tc>
          <w:tcPr>
            <w:tcW w:w="14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6"/>
              <w:jc w:val="center"/>
            </w:pPr>
            <w:r>
              <w:rPr>
                <w:rFonts w:hint="eastAsia" w:ascii="仿宋" w:hAnsi="仿宋" w:eastAsia="仿宋" w:cs="仿宋"/>
                <w:sz w:val="26"/>
                <w:szCs w:val="26"/>
              </w:rPr>
              <w:t>洪葵</w:t>
            </w:r>
            <w:r>
              <w:rPr>
                <w:rFonts w:ascii="Times New Roman" w:hAnsi="Times New Roman" w:eastAsia="Times New Roman" w:cs="Times New Roman"/>
                <w:sz w:val="24"/>
              </w:rPr>
              <w:t xml:space="preserve"> </w:t>
            </w:r>
          </w:p>
        </w:tc>
        <w:tc>
          <w:tcPr>
            <w:tcW w:w="124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34"/>
              <w:jc w:val="center"/>
            </w:pPr>
            <w:r>
              <w:rPr>
                <w:rFonts w:ascii="微软雅黑" w:hAnsi="微软雅黑" w:eastAsia="微软雅黑" w:cs="微软雅黑"/>
                <w:sz w:val="24"/>
              </w:rPr>
              <w:t>性别</w:t>
            </w:r>
            <w:r>
              <w:rPr>
                <w:rFonts w:ascii="Times New Roman" w:hAnsi="Times New Roman" w:eastAsia="Times New Roman" w:cs="Times New Roman"/>
                <w:sz w:val="24"/>
              </w:rPr>
              <w:t xml:space="preserve"> </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center"/>
            </w:pPr>
            <w:r>
              <w:rPr>
                <w:rFonts w:hint="eastAsia" w:ascii="仿宋" w:hAnsi="仿宋" w:eastAsia="仿宋" w:cs="仿宋"/>
                <w:sz w:val="26"/>
                <w:szCs w:val="26"/>
              </w:rPr>
              <w:t>女</w:t>
            </w:r>
            <w:r>
              <w:rPr>
                <w:rFonts w:ascii="Times New Roman" w:hAnsi="Times New Roman" w:eastAsia="Times New Roman" w:cs="Times New Roman"/>
                <w:sz w:val="24"/>
              </w:rPr>
              <w:t xml:space="preserve"> </w:t>
            </w:r>
          </w:p>
        </w:tc>
        <w:tc>
          <w:tcPr>
            <w:tcW w:w="1665"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both"/>
            </w:pPr>
            <w:r>
              <w:rPr>
                <w:rFonts w:ascii="微软雅黑" w:hAnsi="微软雅黑" w:eastAsia="微软雅黑" w:cs="微软雅黑"/>
                <w:sz w:val="24"/>
              </w:rPr>
              <w:t>专业技术职务</w:t>
            </w:r>
            <w:r>
              <w:rPr>
                <w:rFonts w:ascii="Times New Roman" w:hAnsi="Times New Roman" w:eastAsia="Times New Roman" w:cs="Times New Roman"/>
                <w:sz w:val="24"/>
              </w:rPr>
              <w:t xml:space="preserve"> </w:t>
            </w:r>
          </w:p>
        </w:tc>
        <w:tc>
          <w:tcPr>
            <w:tcW w:w="1194"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3"/>
              <w:jc w:val="center"/>
            </w:pPr>
            <w:r>
              <w:rPr>
                <w:rFonts w:hint="eastAsia" w:ascii="仿宋" w:hAnsi="仿宋" w:eastAsia="仿宋" w:cs="仿宋"/>
                <w:sz w:val="26"/>
                <w:szCs w:val="26"/>
              </w:rPr>
              <w:t xml:space="preserve">二级教授/主任医师 </w:t>
            </w:r>
          </w:p>
        </w:tc>
        <w:tc>
          <w:tcPr>
            <w:tcW w:w="120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4"/>
              <w:jc w:val="both"/>
            </w:pPr>
            <w:r>
              <w:rPr>
                <w:rFonts w:ascii="微软雅黑" w:hAnsi="微软雅黑" w:eastAsia="微软雅黑" w:cs="微软雅黑"/>
                <w:sz w:val="24"/>
              </w:rPr>
              <w:t>行政职务</w:t>
            </w:r>
            <w:r>
              <w:rPr>
                <w:rFonts w:ascii="Times New Roman" w:hAnsi="Times New Roman" w:eastAsia="Times New Roman" w:cs="Times New Roman"/>
                <w:sz w:val="24"/>
              </w:rPr>
              <w:t xml:space="preserve"> </w:t>
            </w:r>
          </w:p>
        </w:tc>
        <w:tc>
          <w:tcPr>
            <w:tcW w:w="110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1"/>
              <w:jc w:val="center"/>
            </w:pPr>
            <w:r>
              <w:rPr>
                <w:rFonts w:ascii="Times New Roman" w:hAnsi="Times New Roman" w:eastAsia="Times New Roman" w:cs="Times New Roman"/>
                <w:sz w:val="24"/>
              </w:rPr>
              <w:t xml:space="preserve"> </w:t>
            </w:r>
            <w:r>
              <w:rPr>
                <w:rFonts w:hint="eastAsia" w:ascii="仿宋" w:hAnsi="仿宋" w:eastAsia="仿宋" w:cs="仿宋"/>
                <w:sz w:val="26"/>
                <w:szCs w:val="26"/>
              </w:rPr>
              <w:t>科主任</w:t>
            </w:r>
          </w:p>
        </w:tc>
      </w:tr>
      <w:tr>
        <w:tblPrEx>
          <w:tblLayout w:type="fixed"/>
          <w:tblCellMar>
            <w:top w:w="39" w:type="dxa"/>
            <w:left w:w="108" w:type="dxa"/>
            <w:bottom w:w="0" w:type="dxa"/>
            <w:right w:w="77" w:type="dxa"/>
          </w:tblCellMar>
        </w:tblPrEx>
        <w:trPr>
          <w:trHeight w:val="1114"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拟承担课程</w:t>
            </w:r>
            <w:r>
              <w:rPr>
                <w:rFonts w:ascii="Times New Roman" w:hAnsi="Times New Roman" w:eastAsia="Times New Roman" w:cs="Times New Roman"/>
                <w:sz w:val="24"/>
              </w:rPr>
              <w:t xml:space="preserve"> </w:t>
            </w:r>
          </w:p>
        </w:tc>
        <w:tc>
          <w:tcPr>
            <w:tcW w:w="3446"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eastAsia="宋体"/>
              </w:rPr>
            </w:pPr>
            <w:r>
              <w:rPr>
                <w:rFonts w:hint="eastAsia" w:ascii="仿宋" w:hAnsi="仿宋" w:eastAsia="仿宋" w:cs="仿宋"/>
                <w:sz w:val="26"/>
                <w:szCs w:val="26"/>
              </w:rPr>
              <w:t>内科 、诊断学</w:t>
            </w:r>
          </w:p>
        </w:tc>
        <w:tc>
          <w:tcPr>
            <w:tcW w:w="1665"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both"/>
            </w:pPr>
            <w:r>
              <w:rPr>
                <w:rFonts w:ascii="微软雅黑" w:hAnsi="微软雅黑" w:eastAsia="微软雅黑" w:cs="微软雅黑"/>
                <w:sz w:val="24"/>
              </w:rPr>
              <w:t>现在所在单位</w:t>
            </w:r>
            <w:r>
              <w:rPr>
                <w:rFonts w:ascii="Times New Roman" w:hAnsi="Times New Roman" w:eastAsia="Times New Roman" w:cs="Times New Roman"/>
                <w:sz w:val="24"/>
              </w:rPr>
              <w:t xml:space="preserve"> </w:t>
            </w:r>
          </w:p>
        </w:tc>
        <w:tc>
          <w:tcPr>
            <w:tcW w:w="3503"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7"/>
              <w:jc w:val="center"/>
            </w:pPr>
            <w:r>
              <w:rPr>
                <w:rFonts w:hint="eastAsia" w:ascii="仿宋" w:hAnsi="仿宋" w:eastAsia="仿宋" w:cs="仿宋"/>
                <w:sz w:val="26"/>
                <w:szCs w:val="26"/>
              </w:rPr>
              <w:t>南昌大学第一附属医院</w:t>
            </w:r>
            <w:r>
              <w:rPr>
                <w:rFonts w:ascii="Times New Roman" w:hAnsi="Times New Roman" w:eastAsia="Times New Roman" w:cs="Times New Roman"/>
                <w:sz w:val="24"/>
              </w:rPr>
              <w:t xml:space="preserve"> </w:t>
            </w:r>
          </w:p>
        </w:tc>
      </w:tr>
      <w:tr>
        <w:tblPrEx>
          <w:tblLayout w:type="fixed"/>
          <w:tblCellMar>
            <w:top w:w="39" w:type="dxa"/>
            <w:left w:w="108" w:type="dxa"/>
            <w:bottom w:w="0" w:type="dxa"/>
            <w:right w:w="77" w:type="dxa"/>
          </w:tblCellMar>
        </w:tblPrEx>
        <w:trPr>
          <w:trHeight w:val="1117"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最后学历毕业时间、学校、专业</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12" w:line="240" w:lineRule="auto"/>
              <w:jc w:val="both"/>
            </w:pPr>
            <w:r>
              <w:rPr>
                <w:rFonts w:ascii="Times New Roman" w:hAnsi="Times New Roman" w:eastAsia="仿宋" w:cs="Times New Roman"/>
                <w:sz w:val="26"/>
                <w:szCs w:val="26"/>
              </w:rPr>
              <w:t>1995.10-2000.3 日本冈山大学医学部循环器内科；心血管内科；医学博士</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34"/>
              <w:jc w:val="center"/>
            </w:pPr>
            <w:r>
              <w:rPr>
                <w:rFonts w:ascii="微软雅黑" w:hAnsi="微软雅黑" w:eastAsia="微软雅黑" w:cs="微软雅黑"/>
                <w:sz w:val="24"/>
              </w:rPr>
              <w:t>主要研究方向</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12" w:line="240" w:lineRule="auto"/>
              <w:jc w:val="both"/>
            </w:pPr>
            <w:r>
              <w:rPr>
                <w:rFonts w:ascii="Times New Roman" w:hAnsi="Times New Roman" w:eastAsia="Times New Roman" w:cs="Times New Roman"/>
                <w:sz w:val="24"/>
              </w:rPr>
              <w:t xml:space="preserve"> </w:t>
            </w:r>
            <w:r>
              <w:rPr>
                <w:rFonts w:hint="eastAsia" w:ascii="仿宋" w:hAnsi="仿宋" w:eastAsia="仿宋" w:cs="仿宋"/>
                <w:sz w:val="26"/>
                <w:szCs w:val="26"/>
              </w:rPr>
              <w:t>心血管疾病/人类遗传学</w:t>
            </w:r>
          </w:p>
        </w:tc>
      </w:tr>
      <w:tr>
        <w:tblPrEx>
          <w:tblLayout w:type="fixed"/>
          <w:tblCellMar>
            <w:top w:w="39" w:type="dxa"/>
            <w:left w:w="108" w:type="dxa"/>
            <w:bottom w:w="0" w:type="dxa"/>
            <w:right w:w="77" w:type="dxa"/>
          </w:tblCellMar>
        </w:tblPrEx>
        <w:trPr>
          <w:trHeight w:val="1258"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tcPr>
          <w:p>
            <w:pPr>
              <w:spacing w:after="0" w:line="240" w:lineRule="auto"/>
              <w:jc w:val="center"/>
            </w:pPr>
            <w:r>
              <w:rPr>
                <w:rFonts w:ascii="微软雅黑" w:hAnsi="微软雅黑" w:eastAsia="微软雅黑" w:cs="微软雅黑"/>
                <w:sz w:val="24"/>
              </w:rPr>
              <w:t>从事教育教学改革研究及获奖情况（含教改项目、研究论文、慕课、教材等）</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仿宋" w:cs="Times New Roman"/>
                <w:sz w:val="26"/>
                <w:szCs w:val="26"/>
              </w:rPr>
              <w:t>2016年以署名第一作者获得江西政府一等奖，恶性室性心律失常的遗传学基础和防治</w:t>
            </w:r>
          </w:p>
        </w:tc>
      </w:tr>
      <w:tr>
        <w:tblPrEx>
          <w:tblLayout w:type="fixed"/>
          <w:tblCellMar>
            <w:top w:w="39" w:type="dxa"/>
            <w:left w:w="108" w:type="dxa"/>
            <w:bottom w:w="0" w:type="dxa"/>
            <w:right w:w="77" w:type="dxa"/>
          </w:tblCellMar>
        </w:tblPrEx>
        <w:trPr>
          <w:trHeight w:val="1114"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从事科学研究及获奖情况</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ascii="Times New Roman" w:hAnsi="Times New Roman" w:eastAsia="仿宋" w:cs="Times New Roman"/>
                <w:sz w:val="26"/>
                <w:szCs w:val="26"/>
              </w:rPr>
            </w:pPr>
            <w:r>
              <w:rPr>
                <w:rFonts w:ascii="Times New Roman" w:hAnsi="Times New Roman" w:eastAsia="仿宋" w:cs="Times New Roman"/>
                <w:sz w:val="26"/>
                <w:szCs w:val="26"/>
              </w:rPr>
              <w:t>1.2014-2016江西省教育厅 医学研究生创新平台建设及运行机制</w:t>
            </w:r>
          </w:p>
          <w:p>
            <w:pPr>
              <w:spacing w:after="0" w:line="240" w:lineRule="auto"/>
              <w:rPr>
                <w:rFonts w:eastAsia="宋体"/>
              </w:rPr>
            </w:pPr>
            <w:r>
              <w:rPr>
                <w:rFonts w:ascii="Times New Roman" w:hAnsi="Times New Roman" w:eastAsia="仿宋" w:cs="Times New Roman"/>
                <w:sz w:val="26"/>
                <w:szCs w:val="26"/>
              </w:rPr>
              <w:t>2.2018-2020江西省教育厅  心血管内科学临床专业型研究生传统和创新教育联合培养模式探索</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近三年获得教学研究经费（万元）</w:t>
            </w:r>
            <w:r>
              <w:rPr>
                <w:rFonts w:ascii="Times New Roman" w:hAnsi="Times New Roman" w:eastAsia="Times New Roman" w:cs="Times New Roman"/>
                <w:sz w:val="24"/>
              </w:rPr>
              <w:t xml:space="preserve"> </w:t>
            </w:r>
          </w:p>
        </w:tc>
        <w:tc>
          <w:tcPr>
            <w:tcW w:w="2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仿宋" w:cs="Times New Roman"/>
                <w:sz w:val="26"/>
                <w:szCs w:val="26"/>
              </w:rPr>
              <w:t>71万元</w:t>
            </w:r>
          </w:p>
        </w:tc>
        <w:tc>
          <w:tcPr>
            <w:tcW w:w="2305"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近三年获得科学研究经费（万元）</w:t>
            </w:r>
            <w:r>
              <w:rPr>
                <w:rFonts w:ascii="Times New Roman" w:hAnsi="Times New Roman" w:eastAsia="Times New Roman" w:cs="Times New Roman"/>
                <w:sz w:val="24"/>
              </w:rPr>
              <w:t xml:space="preserve"> </w:t>
            </w:r>
          </w:p>
        </w:tc>
        <w:tc>
          <w:tcPr>
            <w:tcW w:w="2309"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Times New Roman" w:cs="Times New Roman"/>
                <w:sz w:val="24"/>
              </w:rPr>
              <w:t xml:space="preserve"> </w:t>
            </w:r>
            <w:r>
              <w:rPr>
                <w:rFonts w:ascii="Times New Roman" w:hAnsi="Times New Roman" w:eastAsia="仿宋" w:cs="Times New Roman"/>
                <w:sz w:val="26"/>
                <w:szCs w:val="26"/>
              </w:rPr>
              <w:t>639万元</w:t>
            </w:r>
            <w:r>
              <w:rPr>
                <w:rFonts w:hint="eastAsia" w:ascii="仿宋" w:hAnsi="仿宋" w:eastAsia="仿宋" w:cs="仿宋"/>
                <w:sz w:val="26"/>
                <w:szCs w:val="26"/>
              </w:rPr>
              <w:t xml:space="preserve"> </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近三年给本科生授课课程及学时数</w:t>
            </w:r>
            <w:r>
              <w:rPr>
                <w:rFonts w:ascii="Times New Roman" w:hAnsi="Times New Roman" w:eastAsia="Times New Roman" w:cs="Times New Roman"/>
                <w:sz w:val="24"/>
              </w:rPr>
              <w:t xml:space="preserve"> </w:t>
            </w:r>
          </w:p>
        </w:tc>
        <w:tc>
          <w:tcPr>
            <w:tcW w:w="2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Times New Roman" w:cs="Times New Roman"/>
                <w:sz w:val="24"/>
              </w:rPr>
              <w:t xml:space="preserve"> </w:t>
            </w:r>
            <w:r>
              <w:rPr>
                <w:rFonts w:ascii="Times New Roman" w:hAnsi="Times New Roman" w:eastAsia="仿宋" w:cs="Times New Roman"/>
                <w:sz w:val="26"/>
                <w:szCs w:val="26"/>
              </w:rPr>
              <w:t>10学时</w:t>
            </w:r>
          </w:p>
        </w:tc>
        <w:tc>
          <w:tcPr>
            <w:tcW w:w="2305"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近三年指导本科毕业设计（人次）</w:t>
            </w:r>
            <w:r>
              <w:rPr>
                <w:rFonts w:ascii="Times New Roman" w:hAnsi="Times New Roman" w:eastAsia="Times New Roman" w:cs="Times New Roman"/>
                <w:sz w:val="24"/>
              </w:rPr>
              <w:t xml:space="preserve"> </w:t>
            </w:r>
          </w:p>
        </w:tc>
        <w:tc>
          <w:tcPr>
            <w:tcW w:w="2309"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Times New Roman" w:cs="Times New Roman"/>
                <w:sz w:val="24"/>
              </w:rPr>
              <w:t xml:space="preserve"> </w:t>
            </w:r>
            <w:r>
              <w:rPr>
                <w:rFonts w:ascii="Times New Roman" w:hAnsi="Times New Roman" w:eastAsia="仿宋" w:cs="Times New Roman"/>
                <w:sz w:val="26"/>
                <w:szCs w:val="26"/>
              </w:rPr>
              <w:t>190人次</w:t>
            </w:r>
          </w:p>
        </w:tc>
      </w:tr>
    </w:tbl>
    <w:p>
      <w:pPr>
        <w:spacing w:after="0"/>
        <w:ind w:left="327" w:hanging="10"/>
      </w:pPr>
      <w:r>
        <w:rPr>
          <w:rFonts w:ascii="微软雅黑" w:hAnsi="微软雅黑" w:eastAsia="微软雅黑" w:cs="微软雅黑"/>
          <w:sz w:val="24"/>
        </w:rPr>
        <w:t>注：填写三至五人，只填本专业专任教师，每人一表。</w:t>
      </w:r>
      <w:r>
        <w:rPr>
          <w:rFonts w:ascii="Times New Roman" w:hAnsi="Times New Roman" w:eastAsia="Times New Roman" w:cs="Times New Roman"/>
          <w:sz w:val="24"/>
        </w:rPr>
        <w:t xml:space="preserve"> </w:t>
      </w:r>
    </w:p>
    <w:p>
      <w:pPr>
        <w:rPr>
          <w:rFonts w:ascii="Times New Roman" w:hAnsi="Times New Roman" w:eastAsia="Times New Roman" w:cs="Times New Roman"/>
          <w:sz w:val="24"/>
        </w:rPr>
      </w:pPr>
      <w:r>
        <w:rPr>
          <w:rFonts w:ascii="Times New Roman" w:hAnsi="Times New Roman" w:eastAsia="Times New Roman" w:cs="Times New Roman"/>
          <w:sz w:val="24"/>
        </w:rPr>
        <w:br w:type="page"/>
      </w:r>
    </w:p>
    <w:tbl>
      <w:tblPr>
        <w:tblStyle w:val="16"/>
        <w:tblW w:w="9573" w:type="dxa"/>
        <w:jc w:val="center"/>
        <w:tblInd w:w="0" w:type="dxa"/>
        <w:tblLayout w:type="fixed"/>
        <w:tblCellMar>
          <w:top w:w="39" w:type="dxa"/>
          <w:left w:w="108" w:type="dxa"/>
          <w:bottom w:w="0" w:type="dxa"/>
          <w:right w:w="77" w:type="dxa"/>
        </w:tblCellMar>
      </w:tblPr>
      <w:tblGrid>
        <w:gridCol w:w="959"/>
        <w:gridCol w:w="1438"/>
        <w:gridCol w:w="1246"/>
        <w:gridCol w:w="878"/>
        <w:gridCol w:w="438"/>
        <w:gridCol w:w="1278"/>
        <w:gridCol w:w="1027"/>
        <w:gridCol w:w="87"/>
        <w:gridCol w:w="1229"/>
        <w:gridCol w:w="993"/>
      </w:tblGrid>
      <w:tr>
        <w:tblPrEx>
          <w:tblLayout w:type="fixed"/>
          <w:tblCellMar>
            <w:top w:w="39" w:type="dxa"/>
            <w:left w:w="108" w:type="dxa"/>
            <w:bottom w:w="0" w:type="dxa"/>
            <w:right w:w="77" w:type="dxa"/>
          </w:tblCellMar>
        </w:tblPrEx>
        <w:trPr>
          <w:trHeight w:val="1116"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32"/>
            </w:pPr>
            <w:r>
              <w:rPr>
                <w:rFonts w:ascii="微软雅黑" w:hAnsi="微软雅黑" w:eastAsia="微软雅黑" w:cs="微软雅黑"/>
                <w:sz w:val="24"/>
              </w:rPr>
              <w:t>姓名</w:t>
            </w:r>
            <w:r>
              <w:rPr>
                <w:rFonts w:ascii="Times New Roman" w:hAnsi="Times New Roman" w:eastAsia="Times New Roman" w:cs="Times New Roman"/>
                <w:sz w:val="24"/>
              </w:rPr>
              <w:t xml:space="preserve"> </w:t>
            </w:r>
          </w:p>
        </w:tc>
        <w:tc>
          <w:tcPr>
            <w:tcW w:w="14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6"/>
              <w:jc w:val="center"/>
            </w:pPr>
            <w:r>
              <w:rPr>
                <w:rFonts w:hint="eastAsia" w:ascii="仿宋" w:hAnsi="仿宋" w:eastAsia="仿宋" w:cs="仿宋"/>
                <w:sz w:val="26"/>
                <w:szCs w:val="26"/>
              </w:rPr>
              <w:t>张焜和</w:t>
            </w:r>
          </w:p>
        </w:tc>
        <w:tc>
          <w:tcPr>
            <w:tcW w:w="124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34"/>
              <w:jc w:val="center"/>
            </w:pPr>
            <w:r>
              <w:rPr>
                <w:rFonts w:ascii="微软雅黑" w:hAnsi="微软雅黑" w:eastAsia="微软雅黑" w:cs="微软雅黑"/>
                <w:sz w:val="24"/>
              </w:rPr>
              <w:t>性别</w:t>
            </w:r>
            <w:r>
              <w:rPr>
                <w:rFonts w:ascii="Times New Roman" w:hAnsi="Times New Roman" w:eastAsia="Times New Roman" w:cs="Times New Roman"/>
                <w:sz w:val="24"/>
              </w:rPr>
              <w:t xml:space="preserve"> </w:t>
            </w:r>
          </w:p>
        </w:tc>
        <w:tc>
          <w:tcPr>
            <w:tcW w:w="87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center"/>
            </w:pPr>
            <w:r>
              <w:rPr>
                <w:rFonts w:hint="eastAsia" w:ascii="仿宋" w:hAnsi="仿宋" w:eastAsia="仿宋" w:cs="仿宋"/>
                <w:sz w:val="26"/>
                <w:szCs w:val="26"/>
              </w:rPr>
              <w:t>男</w:t>
            </w:r>
          </w:p>
        </w:tc>
        <w:tc>
          <w:tcPr>
            <w:tcW w:w="171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both"/>
            </w:pPr>
            <w:r>
              <w:rPr>
                <w:rFonts w:ascii="微软雅黑" w:hAnsi="微软雅黑" w:eastAsia="微软雅黑" w:cs="微软雅黑"/>
                <w:sz w:val="24"/>
              </w:rPr>
              <w:t>专业技术职务</w:t>
            </w:r>
            <w:r>
              <w:rPr>
                <w:rFonts w:ascii="Times New Roman" w:hAnsi="Times New Roman" w:eastAsia="Times New Roman" w:cs="Times New Roman"/>
                <w:sz w:val="24"/>
              </w:rPr>
              <w:t xml:space="preserve"> </w:t>
            </w:r>
          </w:p>
        </w:tc>
        <w:tc>
          <w:tcPr>
            <w:tcW w:w="111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3"/>
              <w:jc w:val="center"/>
            </w:pPr>
            <w:r>
              <w:rPr>
                <w:rFonts w:hint="eastAsia" w:ascii="仿宋" w:hAnsi="仿宋" w:eastAsia="仿宋" w:cs="仿宋"/>
                <w:sz w:val="26"/>
                <w:szCs w:val="26"/>
              </w:rPr>
              <w:t xml:space="preserve">教授 </w:t>
            </w:r>
          </w:p>
        </w:tc>
        <w:tc>
          <w:tcPr>
            <w:tcW w:w="122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4"/>
              <w:jc w:val="both"/>
            </w:pPr>
            <w:r>
              <w:rPr>
                <w:rFonts w:ascii="微软雅黑" w:hAnsi="微软雅黑" w:eastAsia="微软雅黑" w:cs="微软雅黑"/>
                <w:sz w:val="24"/>
              </w:rPr>
              <w:t>行政职务</w:t>
            </w:r>
            <w:r>
              <w:rPr>
                <w:rFonts w:ascii="Times New Roman" w:hAnsi="Times New Roman" w:eastAsia="Times New Roman" w:cs="Times New Roman"/>
                <w:sz w:val="24"/>
              </w:rPr>
              <w:t xml:space="preserve"> </w:t>
            </w:r>
          </w:p>
        </w:tc>
        <w:tc>
          <w:tcPr>
            <w:tcW w:w="99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1"/>
              <w:jc w:val="center"/>
            </w:pPr>
            <w:r>
              <w:rPr>
                <w:rFonts w:ascii="Times New Roman" w:hAnsi="Times New Roman" w:eastAsia="Times New Roman" w:cs="Times New Roman"/>
                <w:sz w:val="24"/>
              </w:rPr>
              <w:t xml:space="preserve"> </w:t>
            </w:r>
            <w:r>
              <w:rPr>
                <w:rFonts w:hint="eastAsia" w:ascii="仿宋" w:hAnsi="仿宋" w:eastAsia="仿宋" w:cs="仿宋"/>
                <w:sz w:val="26"/>
                <w:szCs w:val="26"/>
              </w:rPr>
              <w:t>消化研究所副所长</w:t>
            </w:r>
          </w:p>
        </w:tc>
      </w:tr>
      <w:tr>
        <w:tblPrEx>
          <w:tblLayout w:type="fixed"/>
          <w:tblCellMar>
            <w:top w:w="39" w:type="dxa"/>
            <w:left w:w="108" w:type="dxa"/>
            <w:bottom w:w="0" w:type="dxa"/>
            <w:right w:w="77" w:type="dxa"/>
          </w:tblCellMar>
        </w:tblPrEx>
        <w:trPr>
          <w:trHeight w:val="1114"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拟承担课程</w:t>
            </w:r>
            <w:r>
              <w:rPr>
                <w:rFonts w:ascii="Times New Roman" w:hAnsi="Times New Roman" w:eastAsia="Times New Roman" w:cs="Times New Roman"/>
                <w:sz w:val="24"/>
              </w:rPr>
              <w:t xml:space="preserve"> </w:t>
            </w:r>
          </w:p>
        </w:tc>
        <w:tc>
          <w:tcPr>
            <w:tcW w:w="3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eastAsia="宋体"/>
              </w:rPr>
            </w:pPr>
            <w:r>
              <w:rPr>
                <w:rFonts w:hint="eastAsia" w:ascii="仿宋" w:hAnsi="仿宋" w:eastAsia="仿宋" w:cs="仿宋"/>
                <w:sz w:val="26"/>
                <w:szCs w:val="26"/>
              </w:rPr>
              <w:t>内科</w:t>
            </w:r>
          </w:p>
        </w:tc>
        <w:tc>
          <w:tcPr>
            <w:tcW w:w="171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both"/>
            </w:pPr>
            <w:r>
              <w:rPr>
                <w:rFonts w:ascii="微软雅黑" w:hAnsi="微软雅黑" w:eastAsia="微软雅黑" w:cs="微软雅黑"/>
                <w:sz w:val="24"/>
              </w:rPr>
              <w:t>现在所在单位</w:t>
            </w:r>
            <w:r>
              <w:rPr>
                <w:rFonts w:ascii="Times New Roman" w:hAnsi="Times New Roman" w:eastAsia="Times New Roman" w:cs="Times New Roman"/>
                <w:sz w:val="24"/>
              </w:rPr>
              <w:t xml:space="preserve"> </w:t>
            </w:r>
          </w:p>
        </w:tc>
        <w:tc>
          <w:tcPr>
            <w:tcW w:w="3336" w:type="dxa"/>
            <w:gridSpan w:val="4"/>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7"/>
              <w:jc w:val="center"/>
            </w:pPr>
            <w:r>
              <w:rPr>
                <w:rFonts w:hint="eastAsia" w:ascii="仿宋" w:hAnsi="仿宋" w:eastAsia="仿宋" w:cs="仿宋"/>
                <w:sz w:val="26"/>
                <w:szCs w:val="26"/>
              </w:rPr>
              <w:t>南昌大学第一附属医院</w:t>
            </w:r>
            <w:r>
              <w:rPr>
                <w:rFonts w:ascii="Times New Roman" w:hAnsi="Times New Roman" w:eastAsia="Times New Roman" w:cs="Times New Roman"/>
                <w:sz w:val="24"/>
              </w:rPr>
              <w:t xml:space="preserve"> </w:t>
            </w:r>
          </w:p>
        </w:tc>
      </w:tr>
      <w:tr>
        <w:tblPrEx>
          <w:tblLayout w:type="fixed"/>
          <w:tblCellMar>
            <w:top w:w="39" w:type="dxa"/>
            <w:left w:w="108" w:type="dxa"/>
            <w:bottom w:w="0" w:type="dxa"/>
            <w:right w:w="77" w:type="dxa"/>
          </w:tblCellMar>
        </w:tblPrEx>
        <w:trPr>
          <w:trHeight w:val="1117"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最后学历毕业时间、学校、专业</w:t>
            </w:r>
            <w:r>
              <w:rPr>
                <w:rFonts w:ascii="Times New Roman" w:hAnsi="Times New Roman" w:eastAsia="Times New Roman" w:cs="Times New Roman"/>
                <w:sz w:val="24"/>
              </w:rPr>
              <w:t xml:space="preserve"> </w:t>
            </w:r>
          </w:p>
        </w:tc>
        <w:tc>
          <w:tcPr>
            <w:tcW w:w="7176" w:type="dxa"/>
            <w:gridSpan w:val="8"/>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7"/>
            </w:pPr>
            <w:r>
              <w:rPr>
                <w:rFonts w:ascii="Times New Roman" w:hAnsi="Times New Roman" w:eastAsia="仿宋" w:cs="Times New Roman"/>
                <w:sz w:val="26"/>
                <w:szCs w:val="26"/>
              </w:rPr>
              <w:t>2009年6月南昌大学临床医学博士毕业</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34"/>
              <w:jc w:val="center"/>
            </w:pPr>
            <w:r>
              <w:rPr>
                <w:rFonts w:ascii="微软雅黑" w:hAnsi="微软雅黑" w:eastAsia="微软雅黑" w:cs="微软雅黑"/>
                <w:sz w:val="24"/>
              </w:rPr>
              <w:t>主要研究方向</w:t>
            </w:r>
            <w:r>
              <w:rPr>
                <w:rFonts w:ascii="Times New Roman" w:hAnsi="Times New Roman" w:eastAsia="Times New Roman" w:cs="Times New Roman"/>
                <w:sz w:val="24"/>
              </w:rPr>
              <w:t xml:space="preserve"> </w:t>
            </w:r>
          </w:p>
        </w:tc>
        <w:tc>
          <w:tcPr>
            <w:tcW w:w="7176" w:type="dxa"/>
            <w:gridSpan w:val="8"/>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7"/>
              <w:rPr>
                <w:rFonts w:ascii="仿宋" w:hAnsi="仿宋" w:eastAsia="仿宋" w:cs="仿宋"/>
                <w:sz w:val="26"/>
                <w:szCs w:val="26"/>
              </w:rPr>
            </w:pPr>
            <w:r>
              <w:rPr>
                <w:rFonts w:hint="eastAsia" w:ascii="仿宋" w:hAnsi="仿宋" w:eastAsia="仿宋" w:cs="仿宋"/>
                <w:sz w:val="26"/>
                <w:szCs w:val="26"/>
              </w:rPr>
              <w:t>消化内科的医疗、教学、科研。</w:t>
            </w:r>
          </w:p>
          <w:p>
            <w:pPr>
              <w:spacing w:after="0" w:line="240" w:lineRule="auto"/>
              <w:ind w:left="27"/>
            </w:pPr>
            <w:r>
              <w:rPr>
                <w:rFonts w:hint="eastAsia" w:ascii="仿宋" w:hAnsi="仿宋" w:eastAsia="仿宋" w:cs="仿宋"/>
                <w:sz w:val="26"/>
                <w:szCs w:val="26"/>
              </w:rPr>
              <w:t>以消化系肿瘤的分子诊断为研究方向。</w:t>
            </w:r>
          </w:p>
        </w:tc>
      </w:tr>
      <w:tr>
        <w:tblPrEx>
          <w:tblLayout w:type="fixed"/>
          <w:tblCellMar>
            <w:top w:w="39" w:type="dxa"/>
            <w:left w:w="108" w:type="dxa"/>
            <w:bottom w:w="0" w:type="dxa"/>
            <w:right w:w="77" w:type="dxa"/>
          </w:tblCellMar>
        </w:tblPrEx>
        <w:trPr>
          <w:trHeight w:val="1258"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tcPr>
          <w:p>
            <w:pPr>
              <w:spacing w:after="0" w:line="240" w:lineRule="auto"/>
              <w:jc w:val="center"/>
            </w:pPr>
            <w:r>
              <w:rPr>
                <w:rFonts w:ascii="微软雅黑" w:hAnsi="微软雅黑" w:eastAsia="微软雅黑" w:cs="微软雅黑"/>
                <w:sz w:val="24"/>
              </w:rPr>
              <w:t>从事教育教学改革研究及获奖情况（含教改项目、研究论文、慕课、教材等）</w:t>
            </w:r>
            <w:r>
              <w:rPr>
                <w:rFonts w:ascii="Times New Roman" w:hAnsi="Times New Roman" w:eastAsia="Times New Roman" w:cs="Times New Roman"/>
                <w:sz w:val="24"/>
              </w:rPr>
              <w:t xml:space="preserve"> </w:t>
            </w:r>
          </w:p>
        </w:tc>
        <w:tc>
          <w:tcPr>
            <w:tcW w:w="7176" w:type="dxa"/>
            <w:gridSpan w:val="8"/>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7"/>
              <w:rPr>
                <w:rFonts w:ascii="Times New Roman" w:hAnsi="Times New Roman" w:eastAsia="仿宋" w:cs="Times New Roman"/>
                <w:sz w:val="26"/>
                <w:szCs w:val="26"/>
              </w:rPr>
            </w:pPr>
            <w:r>
              <w:rPr>
                <w:rFonts w:ascii="Times New Roman" w:hAnsi="Times New Roman" w:eastAsia="仿宋" w:cs="Times New Roman"/>
                <w:sz w:val="26"/>
                <w:szCs w:val="26"/>
              </w:rPr>
              <w:t>1.恶性浆膜腔积液的分子诊断研究，省科技进步二等奖，2007</w:t>
            </w:r>
          </w:p>
          <w:p>
            <w:pPr>
              <w:spacing w:after="0" w:line="240" w:lineRule="auto"/>
              <w:ind w:left="27"/>
              <w:rPr>
                <w:rFonts w:ascii="Times New Roman" w:hAnsi="Times New Roman" w:eastAsia="仿宋" w:cs="Times New Roman"/>
                <w:sz w:val="26"/>
                <w:szCs w:val="26"/>
              </w:rPr>
            </w:pPr>
            <w:r>
              <w:rPr>
                <w:rFonts w:ascii="Times New Roman" w:hAnsi="Times New Roman" w:eastAsia="仿宋" w:cs="Times New Roman"/>
                <w:sz w:val="26"/>
                <w:szCs w:val="26"/>
              </w:rPr>
              <w:t>2.基于核酸适配子的肝癌诊断试剂盒，中国发明专利，2012</w:t>
            </w:r>
          </w:p>
          <w:p>
            <w:pPr>
              <w:spacing w:after="0" w:line="240" w:lineRule="auto"/>
              <w:ind w:left="27"/>
              <w:rPr>
                <w:rFonts w:ascii="Times New Roman" w:hAnsi="Times New Roman" w:eastAsia="仿宋" w:cs="Times New Roman"/>
                <w:sz w:val="26"/>
                <w:szCs w:val="26"/>
              </w:rPr>
            </w:pPr>
            <w:r>
              <w:rPr>
                <w:rFonts w:ascii="Times New Roman" w:hAnsi="Times New Roman" w:eastAsia="仿宋" w:cs="Times New Roman"/>
                <w:sz w:val="26"/>
                <w:szCs w:val="26"/>
              </w:rPr>
              <w:t>3.腹部体检（多媒体课件），省教学成果三等奖，2017</w:t>
            </w:r>
          </w:p>
          <w:p>
            <w:pPr>
              <w:spacing w:after="0" w:line="240" w:lineRule="auto"/>
              <w:ind w:left="27"/>
              <w:rPr>
                <w:rFonts w:ascii="仿宋" w:hAnsi="仿宋" w:eastAsia="仿宋" w:cs="仿宋"/>
                <w:sz w:val="26"/>
                <w:szCs w:val="26"/>
              </w:rPr>
            </w:pPr>
            <w:r>
              <w:rPr>
                <w:rFonts w:ascii="Times New Roman" w:hAnsi="Times New Roman" w:eastAsia="仿宋" w:cs="Times New Roman"/>
                <w:sz w:val="26"/>
                <w:szCs w:val="26"/>
              </w:rPr>
              <w:t>4.肝硬化（多媒体课件），省教学成果三等奖，2016</w:t>
            </w:r>
          </w:p>
        </w:tc>
      </w:tr>
      <w:tr>
        <w:tblPrEx>
          <w:tblLayout w:type="fixed"/>
          <w:tblCellMar>
            <w:top w:w="39" w:type="dxa"/>
            <w:left w:w="108" w:type="dxa"/>
            <w:bottom w:w="0" w:type="dxa"/>
            <w:right w:w="77" w:type="dxa"/>
          </w:tblCellMar>
        </w:tblPrEx>
        <w:trPr>
          <w:trHeight w:val="1114"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从事科学研究及获奖情况</w:t>
            </w:r>
            <w:r>
              <w:rPr>
                <w:rFonts w:ascii="Times New Roman" w:hAnsi="Times New Roman" w:eastAsia="Times New Roman" w:cs="Times New Roman"/>
                <w:sz w:val="24"/>
              </w:rPr>
              <w:t xml:space="preserve"> </w:t>
            </w:r>
          </w:p>
        </w:tc>
        <w:tc>
          <w:tcPr>
            <w:tcW w:w="7176" w:type="dxa"/>
            <w:gridSpan w:val="8"/>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7"/>
              <w:rPr>
                <w:rFonts w:ascii="Times New Roman" w:hAnsi="Times New Roman" w:eastAsia="仿宋" w:cs="Times New Roman"/>
                <w:sz w:val="26"/>
                <w:szCs w:val="26"/>
              </w:rPr>
            </w:pPr>
            <w:r>
              <w:rPr>
                <w:rFonts w:ascii="Times New Roman" w:hAnsi="Times New Roman" w:eastAsia="仿宋" w:cs="Times New Roman"/>
                <w:sz w:val="26"/>
                <w:szCs w:val="26"/>
              </w:rPr>
              <w:t>1.基于适配子的AFP阴性肝癌新血清标志物筛选及前瞻性验证，国家自然科学基金2018-2021</w:t>
            </w:r>
          </w:p>
          <w:p>
            <w:pPr>
              <w:spacing w:after="0" w:line="240" w:lineRule="auto"/>
              <w:ind w:left="27"/>
              <w:rPr>
                <w:rFonts w:ascii="Times New Roman" w:hAnsi="Times New Roman" w:eastAsia="仿宋" w:cs="Times New Roman"/>
                <w:sz w:val="26"/>
                <w:szCs w:val="26"/>
              </w:rPr>
            </w:pPr>
            <w:r>
              <w:rPr>
                <w:rFonts w:ascii="Times New Roman" w:hAnsi="Times New Roman" w:eastAsia="仿宋" w:cs="Times New Roman"/>
                <w:sz w:val="26"/>
                <w:szCs w:val="26"/>
              </w:rPr>
              <w:t>2.液相适配子阵列检测胃癌新技术的建立及其诊断和伺机性筛查价值评价，国家自然科学基金，2016-2019</w:t>
            </w:r>
          </w:p>
          <w:p>
            <w:pPr>
              <w:spacing w:after="0" w:line="240" w:lineRule="auto"/>
              <w:ind w:left="27"/>
              <w:rPr>
                <w:rFonts w:ascii="仿宋" w:hAnsi="仿宋" w:eastAsia="仿宋" w:cs="仿宋"/>
                <w:sz w:val="26"/>
                <w:szCs w:val="26"/>
              </w:rPr>
            </w:pPr>
            <w:r>
              <w:rPr>
                <w:rFonts w:ascii="Times New Roman" w:hAnsi="Times New Roman" w:eastAsia="仿宋" w:cs="Times New Roman"/>
                <w:sz w:val="26"/>
                <w:szCs w:val="26"/>
              </w:rPr>
              <w:t>3.液相适配子阵列检测肝癌新技术的建立及其伺机性筛查诊断价值评价，省重点研发计划，2017-2020</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近三年获得教学研究经费（万元）</w:t>
            </w:r>
            <w:r>
              <w:rPr>
                <w:rFonts w:ascii="Times New Roman" w:hAnsi="Times New Roman" w:eastAsia="Times New Roman" w:cs="Times New Roman"/>
                <w:sz w:val="24"/>
              </w:rPr>
              <w:t xml:space="preserve"> </w:t>
            </w:r>
          </w:p>
        </w:tc>
        <w:tc>
          <w:tcPr>
            <w:tcW w:w="2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仿宋" w:cs="Times New Roman"/>
                <w:sz w:val="26"/>
                <w:szCs w:val="26"/>
              </w:rPr>
              <w:t>9万</w:t>
            </w:r>
          </w:p>
        </w:tc>
        <w:tc>
          <w:tcPr>
            <w:tcW w:w="2305"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近三年获得科学研究经费（万元）</w:t>
            </w:r>
            <w:r>
              <w:rPr>
                <w:rFonts w:ascii="Times New Roman" w:hAnsi="Times New Roman" w:eastAsia="Times New Roman" w:cs="Times New Roman"/>
                <w:sz w:val="24"/>
              </w:rPr>
              <w:t xml:space="preserve"> </w:t>
            </w:r>
          </w:p>
        </w:tc>
        <w:tc>
          <w:tcPr>
            <w:tcW w:w="2309"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宋体" w:cs="Times New Roman"/>
                <w:sz w:val="24"/>
              </w:rPr>
              <w:t>82</w:t>
            </w:r>
            <w:r>
              <w:rPr>
                <w:rFonts w:ascii="Times New Roman" w:hAnsi="Times New Roman" w:eastAsia="仿宋" w:cs="Times New Roman"/>
                <w:sz w:val="26"/>
                <w:szCs w:val="26"/>
              </w:rPr>
              <w:t>万元</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近三年给本科生授课课程及学时数</w:t>
            </w:r>
            <w:r>
              <w:rPr>
                <w:rFonts w:ascii="Times New Roman" w:hAnsi="Times New Roman" w:eastAsia="Times New Roman" w:cs="Times New Roman"/>
                <w:sz w:val="24"/>
              </w:rPr>
              <w:t xml:space="preserve"> </w:t>
            </w:r>
          </w:p>
        </w:tc>
        <w:tc>
          <w:tcPr>
            <w:tcW w:w="2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Times New Roman" w:cs="Times New Roman"/>
                <w:sz w:val="24"/>
              </w:rPr>
              <w:t xml:space="preserve"> </w:t>
            </w:r>
            <w:r>
              <w:rPr>
                <w:rFonts w:ascii="Times New Roman" w:hAnsi="Times New Roman" w:eastAsia="仿宋" w:cs="Times New Roman"/>
                <w:sz w:val="26"/>
                <w:szCs w:val="26"/>
              </w:rPr>
              <w:t>216学时</w:t>
            </w:r>
          </w:p>
        </w:tc>
        <w:tc>
          <w:tcPr>
            <w:tcW w:w="2305"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近三年指导本科毕业设计（人次）</w:t>
            </w:r>
            <w:r>
              <w:rPr>
                <w:rFonts w:ascii="Times New Roman" w:hAnsi="Times New Roman" w:eastAsia="Times New Roman" w:cs="Times New Roman"/>
                <w:sz w:val="24"/>
              </w:rPr>
              <w:t xml:space="preserve"> </w:t>
            </w:r>
          </w:p>
        </w:tc>
        <w:tc>
          <w:tcPr>
            <w:tcW w:w="2309"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仿宋" w:cs="Times New Roman"/>
                <w:sz w:val="26"/>
                <w:szCs w:val="26"/>
              </w:rPr>
              <w:t>6人次</w:t>
            </w:r>
          </w:p>
        </w:tc>
      </w:tr>
    </w:tbl>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tbl>
      <w:tblPr>
        <w:tblStyle w:val="16"/>
        <w:tblW w:w="9573" w:type="dxa"/>
        <w:jc w:val="center"/>
        <w:tblInd w:w="0" w:type="dxa"/>
        <w:tblLayout w:type="fixed"/>
        <w:tblCellMar>
          <w:top w:w="39" w:type="dxa"/>
          <w:left w:w="108" w:type="dxa"/>
          <w:bottom w:w="0" w:type="dxa"/>
          <w:right w:w="77" w:type="dxa"/>
        </w:tblCellMar>
      </w:tblPr>
      <w:tblGrid>
        <w:gridCol w:w="959"/>
        <w:gridCol w:w="1438"/>
        <w:gridCol w:w="1246"/>
        <w:gridCol w:w="747"/>
        <w:gridCol w:w="569"/>
        <w:gridCol w:w="1126"/>
        <w:gridCol w:w="1050"/>
        <w:gridCol w:w="1170"/>
        <w:gridCol w:w="1268"/>
      </w:tblGrid>
      <w:tr>
        <w:tblPrEx>
          <w:tblLayout w:type="fixed"/>
          <w:tblCellMar>
            <w:top w:w="39" w:type="dxa"/>
            <w:left w:w="108" w:type="dxa"/>
            <w:bottom w:w="0" w:type="dxa"/>
            <w:right w:w="77" w:type="dxa"/>
          </w:tblCellMar>
        </w:tblPrEx>
        <w:trPr>
          <w:trHeight w:val="1116"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32"/>
            </w:pPr>
            <w:r>
              <w:rPr>
                <w:rFonts w:ascii="微软雅黑" w:hAnsi="微软雅黑" w:eastAsia="微软雅黑" w:cs="微软雅黑"/>
                <w:sz w:val="24"/>
              </w:rPr>
              <w:t>姓名</w:t>
            </w:r>
            <w:r>
              <w:rPr>
                <w:rFonts w:ascii="Times New Roman" w:hAnsi="Times New Roman" w:eastAsia="Times New Roman" w:cs="Times New Roman"/>
                <w:sz w:val="24"/>
              </w:rPr>
              <w:t xml:space="preserve"> </w:t>
            </w:r>
          </w:p>
        </w:tc>
        <w:tc>
          <w:tcPr>
            <w:tcW w:w="14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6"/>
              <w:jc w:val="center"/>
            </w:pPr>
            <w:r>
              <w:rPr>
                <w:rFonts w:hint="eastAsia" w:ascii="仿宋" w:hAnsi="仿宋" w:eastAsia="仿宋" w:cs="仿宋"/>
                <w:sz w:val="26"/>
                <w:szCs w:val="26"/>
              </w:rPr>
              <w:t>况海斌</w:t>
            </w:r>
          </w:p>
        </w:tc>
        <w:tc>
          <w:tcPr>
            <w:tcW w:w="124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34"/>
              <w:jc w:val="center"/>
            </w:pPr>
            <w:r>
              <w:rPr>
                <w:rFonts w:ascii="微软雅黑" w:hAnsi="微软雅黑" w:eastAsia="微软雅黑" w:cs="微软雅黑"/>
                <w:sz w:val="24"/>
              </w:rPr>
              <w:t>性别</w:t>
            </w:r>
            <w:r>
              <w:rPr>
                <w:rFonts w:ascii="Times New Roman" w:hAnsi="Times New Roman" w:eastAsia="Times New Roman" w:cs="Times New Roman"/>
                <w:sz w:val="24"/>
              </w:rPr>
              <w:t xml:space="preserve"> </w:t>
            </w:r>
          </w:p>
        </w:tc>
        <w:tc>
          <w:tcPr>
            <w:tcW w:w="7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center"/>
            </w:pPr>
            <w:r>
              <w:rPr>
                <w:rFonts w:hint="eastAsia" w:ascii="仿宋" w:hAnsi="仿宋" w:eastAsia="仿宋" w:cs="仿宋"/>
                <w:sz w:val="26"/>
                <w:szCs w:val="26"/>
              </w:rPr>
              <w:t>男</w:t>
            </w:r>
          </w:p>
        </w:tc>
        <w:tc>
          <w:tcPr>
            <w:tcW w:w="1695"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both"/>
            </w:pPr>
            <w:r>
              <w:rPr>
                <w:rFonts w:ascii="微软雅黑" w:hAnsi="微软雅黑" w:eastAsia="微软雅黑" w:cs="微软雅黑"/>
                <w:sz w:val="24"/>
              </w:rPr>
              <w:t>专业技术职务</w:t>
            </w:r>
            <w:r>
              <w:rPr>
                <w:rFonts w:ascii="Times New Roman" w:hAnsi="Times New Roman" w:eastAsia="Times New Roman" w:cs="Times New Roman"/>
                <w:sz w:val="24"/>
              </w:rPr>
              <w:t xml:space="preserve"> </w:t>
            </w:r>
          </w:p>
        </w:tc>
        <w:tc>
          <w:tcPr>
            <w:tcW w:w="105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3"/>
              <w:jc w:val="center"/>
            </w:pPr>
            <w:r>
              <w:rPr>
                <w:rFonts w:hint="eastAsia" w:ascii="仿宋" w:hAnsi="仿宋" w:eastAsia="仿宋" w:cs="仿宋"/>
                <w:sz w:val="26"/>
                <w:szCs w:val="26"/>
              </w:rPr>
              <w:t xml:space="preserve">教授 </w:t>
            </w:r>
          </w:p>
        </w:tc>
        <w:tc>
          <w:tcPr>
            <w:tcW w:w="117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4"/>
              <w:jc w:val="both"/>
            </w:pPr>
            <w:r>
              <w:rPr>
                <w:rFonts w:ascii="微软雅黑" w:hAnsi="微软雅黑" w:eastAsia="微软雅黑" w:cs="微软雅黑"/>
                <w:sz w:val="24"/>
              </w:rPr>
              <w:t>行政职务</w:t>
            </w:r>
            <w:r>
              <w:rPr>
                <w:rFonts w:ascii="Times New Roman" w:hAnsi="Times New Roman" w:eastAsia="Times New Roman" w:cs="Times New Roman"/>
                <w:sz w:val="24"/>
              </w:rPr>
              <w:t xml:space="preserve"> </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1"/>
              <w:jc w:val="center"/>
            </w:pPr>
            <w:r>
              <w:rPr>
                <w:rFonts w:hint="eastAsia" w:ascii="仿宋" w:hAnsi="仿宋" w:eastAsia="仿宋" w:cs="仿宋"/>
                <w:sz w:val="26"/>
                <w:szCs w:val="26"/>
                <w:lang w:val="en-US" w:eastAsia="zh-CN"/>
              </w:rPr>
              <w:t>医学部实验教学</w:t>
            </w:r>
            <w:r>
              <w:rPr>
                <w:rFonts w:hint="eastAsia" w:ascii="仿宋" w:hAnsi="仿宋" w:eastAsia="仿宋" w:cs="仿宋"/>
                <w:sz w:val="26"/>
                <w:szCs w:val="26"/>
              </w:rPr>
              <w:t>中心主任</w:t>
            </w:r>
          </w:p>
        </w:tc>
      </w:tr>
      <w:tr>
        <w:tblPrEx>
          <w:tblLayout w:type="fixed"/>
          <w:tblCellMar>
            <w:top w:w="39" w:type="dxa"/>
            <w:left w:w="108" w:type="dxa"/>
            <w:bottom w:w="0" w:type="dxa"/>
            <w:right w:w="77" w:type="dxa"/>
          </w:tblCellMar>
        </w:tblPrEx>
        <w:trPr>
          <w:trHeight w:val="1114"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拟承担课程</w:t>
            </w:r>
            <w:r>
              <w:rPr>
                <w:rFonts w:ascii="Times New Roman" w:hAnsi="Times New Roman" w:eastAsia="Times New Roman" w:cs="Times New Roman"/>
                <w:sz w:val="24"/>
              </w:rPr>
              <w:t xml:space="preserve"> </w:t>
            </w:r>
          </w:p>
        </w:tc>
        <w:tc>
          <w:tcPr>
            <w:tcW w:w="3431"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eastAsia="宋体"/>
              </w:rPr>
            </w:pPr>
            <w:r>
              <w:rPr>
                <w:rFonts w:hint="eastAsia" w:ascii="仿宋" w:hAnsi="仿宋" w:eastAsia="仿宋" w:cs="仿宋"/>
                <w:sz w:val="26"/>
                <w:szCs w:val="26"/>
              </w:rPr>
              <w:t>生理学、麻醉生理学</w:t>
            </w:r>
          </w:p>
        </w:tc>
        <w:tc>
          <w:tcPr>
            <w:tcW w:w="1695"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both"/>
            </w:pPr>
            <w:r>
              <w:rPr>
                <w:rFonts w:ascii="微软雅黑" w:hAnsi="微软雅黑" w:eastAsia="微软雅黑" w:cs="微软雅黑"/>
                <w:sz w:val="24"/>
              </w:rPr>
              <w:t>现在所在单位</w:t>
            </w:r>
            <w:r>
              <w:rPr>
                <w:rFonts w:ascii="Times New Roman" w:hAnsi="Times New Roman" w:eastAsia="Times New Roman" w:cs="Times New Roman"/>
                <w:sz w:val="24"/>
              </w:rPr>
              <w:t xml:space="preserve"> </w:t>
            </w:r>
          </w:p>
        </w:tc>
        <w:tc>
          <w:tcPr>
            <w:tcW w:w="3488"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7"/>
              <w:jc w:val="center"/>
            </w:pPr>
            <w:r>
              <w:rPr>
                <w:rFonts w:hint="eastAsia" w:ascii="仿宋" w:hAnsi="仿宋" w:eastAsia="仿宋" w:cs="仿宋"/>
                <w:sz w:val="26"/>
                <w:szCs w:val="26"/>
              </w:rPr>
              <w:t>南昌大学基础医学院</w:t>
            </w:r>
            <w:r>
              <w:rPr>
                <w:rFonts w:ascii="Times New Roman" w:hAnsi="Times New Roman" w:eastAsia="Times New Roman" w:cs="Times New Roman"/>
                <w:sz w:val="24"/>
              </w:rPr>
              <w:t xml:space="preserve"> </w:t>
            </w:r>
          </w:p>
        </w:tc>
      </w:tr>
      <w:tr>
        <w:tblPrEx>
          <w:tblLayout w:type="fixed"/>
          <w:tblCellMar>
            <w:top w:w="39" w:type="dxa"/>
            <w:left w:w="108" w:type="dxa"/>
            <w:bottom w:w="0" w:type="dxa"/>
            <w:right w:w="77" w:type="dxa"/>
          </w:tblCellMar>
        </w:tblPrEx>
        <w:trPr>
          <w:trHeight w:val="1117"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最后学历毕业时间、学校、专业</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12" w:line="240" w:lineRule="auto"/>
            </w:pPr>
            <w:r>
              <w:rPr>
                <w:rFonts w:ascii="Times New Roman" w:hAnsi="Times New Roman" w:eastAsia="Times New Roman" w:cs="Times New Roman"/>
                <w:sz w:val="24"/>
              </w:rPr>
              <w:t xml:space="preserve"> </w:t>
            </w:r>
            <w:r>
              <w:rPr>
                <w:rFonts w:ascii="Times New Roman" w:hAnsi="Times New Roman" w:eastAsia="仿宋" w:cs="Times New Roman"/>
                <w:sz w:val="26"/>
                <w:szCs w:val="26"/>
              </w:rPr>
              <w:t>2009年6月南昌大学临床医学博士毕业</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34"/>
              <w:jc w:val="center"/>
            </w:pPr>
            <w:r>
              <w:rPr>
                <w:rFonts w:ascii="微软雅黑" w:hAnsi="微软雅黑" w:eastAsia="微软雅黑" w:cs="微软雅黑"/>
                <w:sz w:val="24"/>
              </w:rPr>
              <w:t>主要研究方向</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12" w:line="240" w:lineRule="auto"/>
            </w:pPr>
            <w:r>
              <w:rPr>
                <w:rFonts w:hint="eastAsia" w:ascii="仿宋" w:hAnsi="仿宋" w:eastAsia="仿宋" w:cs="仿宋"/>
                <w:sz w:val="26"/>
                <w:szCs w:val="26"/>
              </w:rPr>
              <w:t>生殖医学、正常妊娠与异常妊娠的作用机制</w:t>
            </w:r>
          </w:p>
        </w:tc>
      </w:tr>
      <w:tr>
        <w:tblPrEx>
          <w:tblLayout w:type="fixed"/>
          <w:tblCellMar>
            <w:top w:w="39" w:type="dxa"/>
            <w:left w:w="108" w:type="dxa"/>
            <w:bottom w:w="0" w:type="dxa"/>
            <w:right w:w="77" w:type="dxa"/>
          </w:tblCellMar>
        </w:tblPrEx>
        <w:trPr>
          <w:trHeight w:val="1258"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tcPr>
          <w:p>
            <w:pPr>
              <w:spacing w:after="0" w:line="240" w:lineRule="auto"/>
              <w:jc w:val="center"/>
            </w:pPr>
            <w:r>
              <w:rPr>
                <w:rFonts w:ascii="微软雅黑" w:hAnsi="微软雅黑" w:eastAsia="微软雅黑" w:cs="微软雅黑"/>
                <w:sz w:val="24"/>
              </w:rPr>
              <w:t>从事教育教学改革研究及获奖情况（含教改项目、研究论文、慕课、教材等）</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12" w:line="240" w:lineRule="auto"/>
              <w:rPr>
                <w:rFonts w:ascii="Times New Roman" w:hAnsi="Times New Roman" w:eastAsia="仿宋" w:cs="Times New Roman"/>
                <w:sz w:val="26"/>
                <w:szCs w:val="26"/>
              </w:rPr>
            </w:pPr>
            <w:r>
              <w:rPr>
                <w:rFonts w:ascii="Times New Roman" w:hAnsi="Times New Roman" w:eastAsia="仿宋" w:cs="Times New Roman"/>
                <w:sz w:val="26"/>
                <w:szCs w:val="26"/>
              </w:rPr>
              <w:t>1.《生理学-呼吸》，优秀奖，中国生理学会，2016年</w:t>
            </w:r>
          </w:p>
          <w:p>
            <w:pPr>
              <w:spacing w:after="12" w:line="240" w:lineRule="auto"/>
              <w:rPr>
                <w:rFonts w:ascii="Times New Roman" w:hAnsi="Times New Roman" w:eastAsia="仿宋" w:cs="Times New Roman"/>
                <w:sz w:val="26"/>
                <w:szCs w:val="26"/>
              </w:rPr>
            </w:pPr>
            <w:r>
              <w:rPr>
                <w:rFonts w:ascii="Times New Roman" w:hAnsi="Times New Roman" w:eastAsia="仿宋" w:cs="Times New Roman"/>
                <w:sz w:val="26"/>
                <w:szCs w:val="26"/>
              </w:rPr>
              <w:t>2.基于网络资源共享的学术型医学创新型人才培养模式改革与实践，江西省教育厅，2017-2019</w:t>
            </w:r>
          </w:p>
          <w:p>
            <w:pPr>
              <w:spacing w:after="12" w:line="240" w:lineRule="auto"/>
              <w:rPr>
                <w:rFonts w:ascii="仿宋" w:hAnsi="仿宋" w:eastAsia="仿宋" w:cs="仿宋"/>
                <w:sz w:val="26"/>
                <w:szCs w:val="26"/>
              </w:rPr>
            </w:pPr>
            <w:r>
              <w:rPr>
                <w:rFonts w:ascii="Times New Roman" w:hAnsi="Times New Roman" w:eastAsia="仿宋" w:cs="Times New Roman"/>
                <w:sz w:val="26"/>
                <w:szCs w:val="26"/>
              </w:rPr>
              <w:t>3.基于“超星学习通”的《生理学》混合式教学和形成性评价模式探索，南昌大学，2018-2020</w:t>
            </w:r>
          </w:p>
        </w:tc>
      </w:tr>
      <w:tr>
        <w:tblPrEx>
          <w:tblLayout w:type="fixed"/>
          <w:tblCellMar>
            <w:top w:w="39" w:type="dxa"/>
            <w:left w:w="108" w:type="dxa"/>
            <w:bottom w:w="0" w:type="dxa"/>
            <w:right w:w="77" w:type="dxa"/>
          </w:tblCellMar>
        </w:tblPrEx>
        <w:trPr>
          <w:trHeight w:val="1114"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从事科学研究及获奖情况</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12" w:line="240" w:lineRule="auto"/>
              <w:rPr>
                <w:rFonts w:ascii="Times New Roman" w:hAnsi="Times New Roman" w:eastAsia="仿宋" w:cs="Times New Roman"/>
                <w:sz w:val="26"/>
                <w:szCs w:val="26"/>
              </w:rPr>
            </w:pPr>
            <w:r>
              <w:rPr>
                <w:rFonts w:ascii="Times New Roman" w:hAnsi="Times New Roman" w:eastAsia="仿宋" w:cs="Times New Roman"/>
                <w:sz w:val="26"/>
                <w:szCs w:val="26"/>
              </w:rPr>
              <w:t>1.胚胎植入的母胎界面调节及免疫豁免的分子基础，二等奖，江西省人民政府，2014</w:t>
            </w:r>
          </w:p>
          <w:p>
            <w:pPr>
              <w:spacing w:after="12" w:line="240" w:lineRule="auto"/>
              <w:rPr>
                <w:rFonts w:ascii="Times New Roman" w:hAnsi="Times New Roman" w:eastAsia="仿宋" w:cs="Times New Roman"/>
                <w:sz w:val="26"/>
                <w:szCs w:val="26"/>
              </w:rPr>
            </w:pPr>
            <w:r>
              <w:rPr>
                <w:rFonts w:ascii="Times New Roman" w:hAnsi="Times New Roman" w:eastAsia="仿宋" w:cs="Times New Roman"/>
                <w:sz w:val="26"/>
                <w:szCs w:val="26"/>
              </w:rPr>
              <w:t>2.中国宝钢教育奖，优秀教师奖，宝钢教育委员会，2017</w:t>
            </w:r>
          </w:p>
          <w:p>
            <w:pPr>
              <w:spacing w:after="12" w:line="240" w:lineRule="auto"/>
              <w:rPr>
                <w:rFonts w:ascii="Times New Roman" w:hAnsi="Times New Roman" w:eastAsia="仿宋" w:cs="Times New Roman"/>
                <w:sz w:val="26"/>
                <w:szCs w:val="26"/>
              </w:rPr>
            </w:pPr>
            <w:r>
              <w:rPr>
                <w:rFonts w:ascii="Times New Roman" w:hAnsi="Times New Roman" w:eastAsia="仿宋" w:cs="Times New Roman"/>
                <w:sz w:val="26"/>
                <w:szCs w:val="26"/>
              </w:rPr>
              <w:t>3.纳米二氧化钛致胎儿发育迟缓的胎盘机制及柚皮苷干预，一等奖，江西省教育厅，2019</w:t>
            </w:r>
          </w:p>
          <w:p>
            <w:pPr>
              <w:spacing w:after="12" w:line="240" w:lineRule="auto"/>
              <w:rPr>
                <w:rFonts w:ascii="仿宋" w:hAnsi="仿宋" w:eastAsia="仿宋" w:cs="仿宋"/>
                <w:sz w:val="26"/>
                <w:szCs w:val="26"/>
              </w:rPr>
            </w:pP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近三年获得教学研究经费（万元）</w:t>
            </w:r>
            <w:r>
              <w:rPr>
                <w:rFonts w:ascii="Times New Roman" w:hAnsi="Times New Roman" w:eastAsia="Times New Roman" w:cs="Times New Roman"/>
                <w:sz w:val="24"/>
              </w:rPr>
              <w:t xml:space="preserve"> </w:t>
            </w:r>
          </w:p>
        </w:tc>
        <w:tc>
          <w:tcPr>
            <w:tcW w:w="2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ascii="仿宋" w:hAnsi="仿宋" w:eastAsia="仿宋" w:cs="仿宋"/>
                <w:sz w:val="28"/>
                <w:szCs w:val="28"/>
              </w:rPr>
            </w:pPr>
            <w:r>
              <w:rPr>
                <w:rFonts w:ascii="Times New Roman" w:hAnsi="Times New Roman" w:eastAsia="仿宋" w:cs="Times New Roman"/>
                <w:sz w:val="26"/>
                <w:szCs w:val="26"/>
              </w:rPr>
              <w:t>2.5万</w:t>
            </w:r>
          </w:p>
        </w:tc>
        <w:tc>
          <w:tcPr>
            <w:tcW w:w="217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近三年获得科学研究经费（万元）</w:t>
            </w:r>
            <w:r>
              <w:rPr>
                <w:rFonts w:ascii="Times New Roman" w:hAnsi="Times New Roman" w:eastAsia="Times New Roman" w:cs="Times New Roman"/>
                <w:sz w:val="24"/>
              </w:rPr>
              <w:t xml:space="preserve"> </w:t>
            </w:r>
          </w:p>
        </w:tc>
        <w:tc>
          <w:tcPr>
            <w:tcW w:w="2438"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Times New Roman" w:cs="Times New Roman"/>
                <w:sz w:val="24"/>
              </w:rPr>
              <w:t xml:space="preserve"> </w:t>
            </w:r>
            <w:r>
              <w:rPr>
                <w:rFonts w:ascii="Times New Roman" w:hAnsi="Times New Roman" w:eastAsia="仿宋" w:cs="Times New Roman"/>
                <w:sz w:val="26"/>
                <w:szCs w:val="26"/>
              </w:rPr>
              <w:t xml:space="preserve">60万元 </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近三年给本科生授课课程及学时数</w:t>
            </w:r>
            <w:r>
              <w:rPr>
                <w:rFonts w:ascii="Times New Roman" w:hAnsi="Times New Roman" w:eastAsia="Times New Roman" w:cs="Times New Roman"/>
                <w:sz w:val="24"/>
              </w:rPr>
              <w:t xml:space="preserve"> </w:t>
            </w:r>
          </w:p>
        </w:tc>
        <w:tc>
          <w:tcPr>
            <w:tcW w:w="2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仿宋" w:cs="Times New Roman"/>
                <w:sz w:val="26"/>
                <w:szCs w:val="26"/>
              </w:rPr>
              <w:t>242学时</w:t>
            </w:r>
          </w:p>
        </w:tc>
        <w:tc>
          <w:tcPr>
            <w:tcW w:w="217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近三年指导本科毕业设计（人次）</w:t>
            </w:r>
            <w:r>
              <w:rPr>
                <w:rFonts w:ascii="Times New Roman" w:hAnsi="Times New Roman" w:eastAsia="Times New Roman" w:cs="Times New Roman"/>
                <w:sz w:val="24"/>
              </w:rPr>
              <w:t xml:space="preserve"> </w:t>
            </w:r>
          </w:p>
        </w:tc>
        <w:tc>
          <w:tcPr>
            <w:tcW w:w="2438"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仿宋" w:cs="Times New Roman"/>
                <w:sz w:val="26"/>
                <w:szCs w:val="26"/>
              </w:rPr>
              <w:t>10人次</w:t>
            </w:r>
          </w:p>
        </w:tc>
      </w:tr>
    </w:tbl>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p>
    <w:tbl>
      <w:tblPr>
        <w:tblStyle w:val="16"/>
        <w:tblW w:w="9573" w:type="dxa"/>
        <w:jc w:val="center"/>
        <w:tblInd w:w="0" w:type="dxa"/>
        <w:tblLayout w:type="fixed"/>
        <w:tblCellMar>
          <w:top w:w="39" w:type="dxa"/>
          <w:left w:w="108" w:type="dxa"/>
          <w:bottom w:w="0" w:type="dxa"/>
          <w:right w:w="77" w:type="dxa"/>
        </w:tblCellMar>
      </w:tblPr>
      <w:tblGrid>
        <w:gridCol w:w="959"/>
        <w:gridCol w:w="1438"/>
        <w:gridCol w:w="1246"/>
        <w:gridCol w:w="717"/>
        <w:gridCol w:w="599"/>
        <w:gridCol w:w="1081"/>
        <w:gridCol w:w="1140"/>
        <w:gridCol w:w="1245"/>
        <w:gridCol w:w="1148"/>
      </w:tblGrid>
      <w:tr>
        <w:tblPrEx>
          <w:tblLayout w:type="fixed"/>
          <w:tblCellMar>
            <w:top w:w="39" w:type="dxa"/>
            <w:left w:w="108" w:type="dxa"/>
            <w:bottom w:w="0" w:type="dxa"/>
            <w:right w:w="77" w:type="dxa"/>
          </w:tblCellMar>
        </w:tblPrEx>
        <w:trPr>
          <w:trHeight w:val="1116"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32"/>
            </w:pPr>
            <w:r>
              <w:rPr>
                <w:rFonts w:ascii="微软雅黑" w:hAnsi="微软雅黑" w:eastAsia="微软雅黑" w:cs="微软雅黑"/>
                <w:sz w:val="24"/>
              </w:rPr>
              <w:t>姓名</w:t>
            </w:r>
            <w:r>
              <w:rPr>
                <w:rFonts w:ascii="Times New Roman" w:hAnsi="Times New Roman" w:eastAsia="Times New Roman" w:cs="Times New Roman"/>
                <w:sz w:val="24"/>
              </w:rPr>
              <w:t xml:space="preserve"> </w:t>
            </w:r>
          </w:p>
        </w:tc>
        <w:tc>
          <w:tcPr>
            <w:tcW w:w="14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6"/>
              <w:jc w:val="center"/>
            </w:pPr>
            <w:r>
              <w:rPr>
                <w:rFonts w:hint="eastAsia" w:ascii="仿宋" w:hAnsi="仿宋" w:eastAsia="仿宋" w:cs="仿宋"/>
                <w:sz w:val="26"/>
                <w:szCs w:val="26"/>
              </w:rPr>
              <w:t>胡晓鹃</w:t>
            </w:r>
          </w:p>
        </w:tc>
        <w:tc>
          <w:tcPr>
            <w:tcW w:w="124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34"/>
              <w:jc w:val="center"/>
            </w:pPr>
            <w:r>
              <w:rPr>
                <w:rFonts w:ascii="微软雅黑" w:hAnsi="微软雅黑" w:eastAsia="微软雅黑" w:cs="微软雅黑"/>
                <w:sz w:val="24"/>
              </w:rPr>
              <w:t>性别</w:t>
            </w:r>
            <w:r>
              <w:rPr>
                <w:rFonts w:ascii="Times New Roman" w:hAnsi="Times New Roman" w:eastAsia="Times New Roman" w:cs="Times New Roman"/>
                <w:sz w:val="24"/>
              </w:rPr>
              <w:t xml:space="preserve"> </w:t>
            </w:r>
          </w:p>
        </w:tc>
        <w:tc>
          <w:tcPr>
            <w:tcW w:w="71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center"/>
            </w:pPr>
            <w:r>
              <w:rPr>
                <w:rFonts w:hint="eastAsia" w:ascii="仿宋" w:hAnsi="仿宋" w:eastAsia="仿宋" w:cs="仿宋"/>
                <w:sz w:val="26"/>
                <w:szCs w:val="26"/>
              </w:rPr>
              <w:t>女</w:t>
            </w:r>
            <w:r>
              <w:rPr>
                <w:rFonts w:ascii="Times New Roman" w:hAnsi="Times New Roman" w:eastAsia="Times New Roman" w:cs="Times New Roman"/>
                <w:sz w:val="24"/>
              </w:rPr>
              <w:t xml:space="preserve"> </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both"/>
            </w:pPr>
            <w:r>
              <w:rPr>
                <w:rFonts w:ascii="微软雅黑" w:hAnsi="微软雅黑" w:eastAsia="微软雅黑" w:cs="微软雅黑"/>
                <w:sz w:val="24"/>
              </w:rPr>
              <w:t>专业技术职务</w:t>
            </w:r>
            <w:r>
              <w:rPr>
                <w:rFonts w:ascii="Times New Roman" w:hAnsi="Times New Roman" w:eastAsia="Times New Roman" w:cs="Times New Roman"/>
                <w:sz w:val="24"/>
              </w:rPr>
              <w:t xml:space="preserve"> </w:t>
            </w:r>
          </w:p>
        </w:tc>
        <w:tc>
          <w:tcPr>
            <w:tcW w:w="114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3"/>
              <w:jc w:val="center"/>
            </w:pPr>
            <w:r>
              <w:rPr>
                <w:rFonts w:hint="eastAsia" w:ascii="仿宋" w:hAnsi="仿宋" w:eastAsia="仿宋" w:cs="仿宋"/>
                <w:sz w:val="26"/>
                <w:szCs w:val="26"/>
              </w:rPr>
              <w:t>副教授</w:t>
            </w:r>
          </w:p>
        </w:tc>
        <w:tc>
          <w:tcPr>
            <w:tcW w:w="124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4"/>
              <w:jc w:val="both"/>
            </w:pPr>
            <w:r>
              <w:rPr>
                <w:rFonts w:ascii="微软雅黑" w:hAnsi="微软雅黑" w:eastAsia="微软雅黑" w:cs="微软雅黑"/>
                <w:sz w:val="24"/>
              </w:rPr>
              <w:t>行政职务</w:t>
            </w:r>
            <w:r>
              <w:rPr>
                <w:rFonts w:ascii="Times New Roman" w:hAnsi="Times New Roman" w:eastAsia="Times New Roman" w:cs="Times New Roman"/>
                <w:sz w:val="24"/>
              </w:rPr>
              <w:t xml:space="preserve"> </w:t>
            </w:r>
          </w:p>
        </w:tc>
        <w:tc>
          <w:tcPr>
            <w:tcW w:w="114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1"/>
              <w:jc w:val="center"/>
            </w:pPr>
            <w:r>
              <w:rPr>
                <w:rFonts w:hint="eastAsia" w:ascii="仿宋" w:hAnsi="仿宋" w:eastAsia="仿宋" w:cs="仿宋"/>
                <w:sz w:val="26"/>
                <w:szCs w:val="26"/>
              </w:rPr>
              <w:t xml:space="preserve"> 科主任</w:t>
            </w:r>
          </w:p>
        </w:tc>
      </w:tr>
      <w:tr>
        <w:tblPrEx>
          <w:tblLayout w:type="fixed"/>
          <w:tblCellMar>
            <w:top w:w="39" w:type="dxa"/>
            <w:left w:w="108" w:type="dxa"/>
            <w:bottom w:w="0" w:type="dxa"/>
            <w:right w:w="77" w:type="dxa"/>
          </w:tblCellMar>
        </w:tblPrEx>
        <w:trPr>
          <w:trHeight w:val="1114"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拟承担课程</w:t>
            </w:r>
            <w:r>
              <w:rPr>
                <w:rFonts w:ascii="Times New Roman" w:hAnsi="Times New Roman" w:eastAsia="Times New Roman" w:cs="Times New Roman"/>
                <w:sz w:val="24"/>
              </w:rPr>
              <w:t xml:space="preserve"> </w:t>
            </w:r>
          </w:p>
        </w:tc>
        <w:tc>
          <w:tcPr>
            <w:tcW w:w="3401"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eastAsia="宋体"/>
              </w:rPr>
            </w:pPr>
            <w:r>
              <w:rPr>
                <w:rFonts w:hint="eastAsia" w:ascii="仿宋" w:hAnsi="仿宋" w:eastAsia="仿宋" w:cs="仿宋"/>
                <w:sz w:val="26"/>
                <w:szCs w:val="26"/>
              </w:rPr>
              <w:t>生命生物分子</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both"/>
            </w:pPr>
            <w:r>
              <w:rPr>
                <w:rFonts w:ascii="微软雅黑" w:hAnsi="微软雅黑" w:eastAsia="微软雅黑" w:cs="微软雅黑"/>
                <w:sz w:val="24"/>
              </w:rPr>
              <w:t>现在所在单位</w:t>
            </w:r>
            <w:r>
              <w:rPr>
                <w:rFonts w:ascii="Times New Roman" w:hAnsi="Times New Roman" w:eastAsia="Times New Roman" w:cs="Times New Roman"/>
                <w:sz w:val="24"/>
              </w:rPr>
              <w:t xml:space="preserve"> </w:t>
            </w:r>
          </w:p>
        </w:tc>
        <w:tc>
          <w:tcPr>
            <w:tcW w:w="3533"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7"/>
              <w:jc w:val="center"/>
            </w:pPr>
            <w:r>
              <w:rPr>
                <w:rFonts w:hint="eastAsia" w:ascii="仿宋" w:hAnsi="仿宋" w:eastAsia="仿宋" w:cs="仿宋"/>
                <w:sz w:val="26"/>
                <w:szCs w:val="26"/>
              </w:rPr>
              <w:t xml:space="preserve">南昌大学第一附属医院 </w:t>
            </w:r>
          </w:p>
        </w:tc>
      </w:tr>
      <w:tr>
        <w:tblPrEx>
          <w:tblLayout w:type="fixed"/>
          <w:tblCellMar>
            <w:top w:w="39" w:type="dxa"/>
            <w:left w:w="108" w:type="dxa"/>
            <w:bottom w:w="0" w:type="dxa"/>
            <w:right w:w="77" w:type="dxa"/>
          </w:tblCellMar>
        </w:tblPrEx>
        <w:trPr>
          <w:trHeight w:val="1117"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最后学历毕业时间、学校、专业</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6"/>
              <w:rPr>
                <w:rFonts w:ascii="仿宋" w:hAnsi="仿宋" w:eastAsia="仿宋" w:cs="仿宋"/>
                <w:sz w:val="26"/>
                <w:szCs w:val="26"/>
              </w:rPr>
            </w:pPr>
            <w:r>
              <w:rPr>
                <w:rFonts w:ascii="Times New Roman" w:hAnsi="Times New Roman" w:eastAsia="仿宋" w:cs="Times New Roman"/>
                <w:sz w:val="26"/>
                <w:szCs w:val="26"/>
              </w:rPr>
              <w:t>2008.09-2014.06  南昌大学营养与食品卫生学，中德联合培养博士</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34"/>
              <w:jc w:val="center"/>
            </w:pPr>
            <w:r>
              <w:rPr>
                <w:rFonts w:ascii="微软雅黑" w:hAnsi="微软雅黑" w:eastAsia="微软雅黑" w:cs="微软雅黑"/>
                <w:sz w:val="24"/>
              </w:rPr>
              <w:t>主要研究方向</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ascii="仿宋" w:hAnsi="仿宋" w:eastAsia="仿宋" w:cs="仿宋"/>
                <w:sz w:val="26"/>
                <w:szCs w:val="26"/>
              </w:rPr>
            </w:pPr>
            <w:r>
              <w:rPr>
                <w:rFonts w:hint="eastAsia" w:ascii="仿宋" w:hAnsi="仿宋" w:eastAsia="仿宋" w:cs="仿宋"/>
                <w:sz w:val="26"/>
                <w:szCs w:val="26"/>
              </w:rPr>
              <w:t>主要从事生物化学与分子生物学教研工作研究方向：分子肿瘤学，日常膳食与肿瘤临床治疗</w:t>
            </w:r>
          </w:p>
        </w:tc>
      </w:tr>
      <w:tr>
        <w:tblPrEx>
          <w:tblLayout w:type="fixed"/>
          <w:tblCellMar>
            <w:top w:w="39" w:type="dxa"/>
            <w:left w:w="108" w:type="dxa"/>
            <w:bottom w:w="0" w:type="dxa"/>
            <w:right w:w="77" w:type="dxa"/>
          </w:tblCellMar>
        </w:tblPrEx>
        <w:trPr>
          <w:trHeight w:val="1258"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tcPr>
          <w:p>
            <w:pPr>
              <w:spacing w:after="0" w:line="240" w:lineRule="auto"/>
              <w:jc w:val="center"/>
              <w:rPr>
                <w:rFonts w:ascii="Times New Roman" w:hAnsi="Times New Roman" w:cs="Times New Roman"/>
              </w:rPr>
            </w:pPr>
            <w:r>
              <w:rPr>
                <w:rFonts w:ascii="Times New Roman" w:hAnsi="Times New Roman" w:eastAsia="微软雅黑" w:cs="Times New Roman"/>
                <w:sz w:val="24"/>
              </w:rPr>
              <w:t>从事教育教学改革研究及获奖情况（含教改项目、研究论文、慕课、教材等）</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6"/>
              <w:rPr>
                <w:rFonts w:ascii="Times New Roman" w:hAnsi="Times New Roman" w:eastAsia="仿宋" w:cs="Times New Roman"/>
                <w:sz w:val="26"/>
                <w:szCs w:val="26"/>
              </w:rPr>
            </w:pPr>
            <w:r>
              <w:rPr>
                <w:rFonts w:ascii="Times New Roman" w:hAnsi="Times New Roman" w:eastAsia="仿宋" w:cs="Times New Roman"/>
                <w:sz w:val="26"/>
                <w:szCs w:val="26"/>
              </w:rPr>
              <w:t>1.教学育来华留学英文授课牌课程《Medical Biochemistry》，国家级，教育部，2017.01</w:t>
            </w:r>
          </w:p>
          <w:p>
            <w:pPr>
              <w:spacing w:after="0" w:line="240" w:lineRule="auto"/>
              <w:ind w:left="26"/>
              <w:rPr>
                <w:rFonts w:ascii="Times New Roman" w:hAnsi="Times New Roman" w:eastAsia="仿宋" w:cs="Times New Roman"/>
                <w:sz w:val="26"/>
                <w:szCs w:val="26"/>
              </w:rPr>
            </w:pPr>
            <w:r>
              <w:rPr>
                <w:rFonts w:ascii="Times New Roman" w:hAnsi="Times New Roman" w:eastAsia="仿宋" w:cs="Times New Roman"/>
                <w:sz w:val="26"/>
                <w:szCs w:val="26"/>
              </w:rPr>
              <w:t>2.全国生物化学与分子生物学微课程竞赛一等奖，国家级，中国生物化学与分子生物学会，2016.10</w:t>
            </w:r>
          </w:p>
          <w:p>
            <w:pPr>
              <w:spacing w:after="0" w:line="240" w:lineRule="auto"/>
              <w:ind w:left="26"/>
              <w:rPr>
                <w:rFonts w:ascii="Times New Roman" w:hAnsi="Times New Roman" w:eastAsia="仿宋" w:cs="Times New Roman"/>
                <w:sz w:val="26"/>
                <w:szCs w:val="26"/>
              </w:rPr>
            </w:pPr>
            <w:r>
              <w:rPr>
                <w:rFonts w:ascii="Times New Roman" w:hAnsi="Times New Roman" w:eastAsia="仿宋" w:cs="Times New Roman"/>
                <w:sz w:val="26"/>
                <w:szCs w:val="26"/>
              </w:rPr>
              <w:t>3.智慧教学之星，国家级，教育部在线教育研究中心，2018.06</w:t>
            </w:r>
          </w:p>
          <w:p>
            <w:pPr>
              <w:spacing w:after="0" w:line="240" w:lineRule="auto"/>
              <w:ind w:left="26"/>
              <w:rPr>
                <w:rFonts w:ascii="Times New Roman" w:hAnsi="Times New Roman" w:eastAsia="仿宋" w:cs="Times New Roman"/>
                <w:sz w:val="26"/>
                <w:szCs w:val="26"/>
              </w:rPr>
            </w:pPr>
            <w:r>
              <w:rPr>
                <w:rFonts w:ascii="Times New Roman" w:hAnsi="Times New Roman" w:eastAsia="仿宋" w:cs="Times New Roman"/>
                <w:sz w:val="26"/>
                <w:szCs w:val="26"/>
              </w:rPr>
              <w:t>4.第五届全国大学生基础医学创新论坛暨实验设计大赛三等奖，国家级，高等学校国家级实验中心联席会，2018.05</w:t>
            </w:r>
          </w:p>
          <w:p>
            <w:pPr>
              <w:spacing w:after="0" w:line="240" w:lineRule="auto"/>
              <w:ind w:left="26"/>
              <w:rPr>
                <w:rFonts w:ascii="仿宋" w:hAnsi="仿宋" w:eastAsia="仿宋" w:cs="仿宋"/>
                <w:sz w:val="26"/>
                <w:szCs w:val="26"/>
              </w:rPr>
            </w:pPr>
            <w:r>
              <w:rPr>
                <w:rFonts w:ascii="Times New Roman" w:hAnsi="Times New Roman" w:eastAsia="仿宋" w:cs="Times New Roman"/>
                <w:sz w:val="26"/>
                <w:szCs w:val="26"/>
              </w:rPr>
              <w:t>5.基于“雨课堂”建立留学生Medical Biochemistry混合式，江西省教育厅2018.01</w:t>
            </w:r>
          </w:p>
        </w:tc>
      </w:tr>
      <w:tr>
        <w:tblPrEx>
          <w:tblLayout w:type="fixed"/>
          <w:tblCellMar>
            <w:top w:w="39" w:type="dxa"/>
            <w:left w:w="108" w:type="dxa"/>
            <w:bottom w:w="0" w:type="dxa"/>
            <w:right w:w="77" w:type="dxa"/>
          </w:tblCellMar>
        </w:tblPrEx>
        <w:trPr>
          <w:trHeight w:val="1114"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cs="Times New Roman"/>
              </w:rPr>
            </w:pPr>
            <w:r>
              <w:rPr>
                <w:rFonts w:ascii="Times New Roman" w:hAnsi="Times New Roman" w:eastAsia="微软雅黑" w:cs="Times New Roman"/>
                <w:sz w:val="24"/>
              </w:rPr>
              <w:t>从事科学研究及获奖情况</w:t>
            </w:r>
            <w:r>
              <w:rPr>
                <w:rFonts w:ascii="Times New Roman" w:hAnsi="Times New Roman" w:eastAsia="Times New Roman" w:cs="Times New Roman"/>
                <w:sz w:val="24"/>
              </w:rPr>
              <w:t xml:space="preserve"> </w:t>
            </w:r>
          </w:p>
        </w:tc>
        <w:tc>
          <w:tcPr>
            <w:tcW w:w="7176" w:type="dxa"/>
            <w:gridSpan w:val="7"/>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6"/>
              <w:rPr>
                <w:rFonts w:ascii="Times New Roman" w:hAnsi="Times New Roman" w:eastAsia="仿宋" w:cs="Times New Roman"/>
                <w:sz w:val="26"/>
                <w:szCs w:val="26"/>
              </w:rPr>
            </w:pPr>
            <w:r>
              <w:rPr>
                <w:rFonts w:ascii="Times New Roman" w:hAnsi="Times New Roman" w:eastAsia="仿宋" w:cs="Times New Roman"/>
                <w:sz w:val="26"/>
                <w:szCs w:val="26"/>
              </w:rPr>
              <w:t>1.膳食源性染料木素长期摄入对乳腺癌化疗药物敏感性的影响，国家自然基金，2015.01-2018.12</w:t>
            </w:r>
          </w:p>
          <w:p>
            <w:pPr>
              <w:spacing w:after="0" w:line="240" w:lineRule="auto"/>
              <w:ind w:left="26"/>
              <w:rPr>
                <w:rFonts w:ascii="仿宋" w:hAnsi="仿宋" w:eastAsia="仿宋" w:cs="仿宋"/>
                <w:sz w:val="26"/>
                <w:szCs w:val="26"/>
              </w:rPr>
            </w:pPr>
            <w:r>
              <w:rPr>
                <w:rFonts w:ascii="Times New Roman" w:hAnsi="Times New Roman" w:eastAsia="仿宋" w:cs="Times New Roman"/>
                <w:sz w:val="26"/>
                <w:szCs w:val="26"/>
              </w:rPr>
              <w:t>2.中英临床医学联合教学改革探索，江西省教育厅，2015.12</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近三年获得教学研究经费（万元）</w:t>
            </w:r>
            <w:r>
              <w:rPr>
                <w:rFonts w:ascii="Times New Roman" w:hAnsi="Times New Roman" w:eastAsia="Times New Roman" w:cs="Times New Roman"/>
                <w:sz w:val="24"/>
              </w:rPr>
              <w:t xml:space="preserve"> </w:t>
            </w:r>
          </w:p>
        </w:tc>
        <w:tc>
          <w:tcPr>
            <w:tcW w:w="2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仿宋" w:cs="Times New Roman"/>
                <w:sz w:val="26"/>
                <w:szCs w:val="26"/>
              </w:rPr>
              <w:t>5.83万元</w:t>
            </w:r>
          </w:p>
        </w:tc>
        <w:tc>
          <w:tcPr>
            <w:tcW w:w="2221"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近三年获得科学研究经费（万元）</w:t>
            </w:r>
            <w:r>
              <w:rPr>
                <w:rFonts w:ascii="Times New Roman" w:hAnsi="Times New Roman" w:eastAsia="Times New Roman" w:cs="Times New Roman"/>
                <w:sz w:val="24"/>
              </w:rPr>
              <w:t xml:space="preserve"> </w:t>
            </w:r>
          </w:p>
        </w:tc>
        <w:tc>
          <w:tcPr>
            <w:tcW w:w="239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仿宋" w:cs="Times New Roman"/>
                <w:sz w:val="26"/>
                <w:szCs w:val="26"/>
              </w:rPr>
              <w:t>52.47万元</w:t>
            </w:r>
            <w:r>
              <w:rPr>
                <w:rFonts w:ascii="仿宋" w:hAnsi="仿宋" w:eastAsia="仿宋" w:cs="仿宋"/>
                <w:sz w:val="26"/>
                <w:szCs w:val="26"/>
              </w:rPr>
              <w:t xml:space="preserve"> </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近三年给本科生授课课程及学时数</w:t>
            </w:r>
            <w:r>
              <w:rPr>
                <w:rFonts w:ascii="Times New Roman" w:hAnsi="Times New Roman" w:eastAsia="Times New Roman" w:cs="Times New Roman"/>
                <w:sz w:val="24"/>
              </w:rPr>
              <w:t xml:space="preserve"> </w:t>
            </w:r>
          </w:p>
        </w:tc>
        <w:tc>
          <w:tcPr>
            <w:tcW w:w="2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Times New Roman" w:cs="Times New Roman"/>
                <w:sz w:val="24"/>
              </w:rPr>
              <w:t xml:space="preserve"> </w:t>
            </w:r>
            <w:r>
              <w:rPr>
                <w:rFonts w:ascii="Times New Roman" w:hAnsi="Times New Roman" w:eastAsia="仿宋" w:cs="Times New Roman"/>
                <w:sz w:val="26"/>
                <w:szCs w:val="26"/>
              </w:rPr>
              <w:t>2000学时</w:t>
            </w:r>
          </w:p>
        </w:tc>
        <w:tc>
          <w:tcPr>
            <w:tcW w:w="2221"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近三年指导本科毕业设计（人次）</w:t>
            </w:r>
            <w:r>
              <w:rPr>
                <w:rFonts w:ascii="Times New Roman" w:hAnsi="Times New Roman" w:eastAsia="Times New Roman" w:cs="Times New Roman"/>
                <w:sz w:val="24"/>
              </w:rPr>
              <w:t xml:space="preserve"> </w:t>
            </w:r>
          </w:p>
        </w:tc>
        <w:tc>
          <w:tcPr>
            <w:tcW w:w="239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仿宋" w:cs="Times New Roman"/>
                <w:sz w:val="26"/>
                <w:szCs w:val="26"/>
              </w:rPr>
              <w:t>8人次</w:t>
            </w:r>
          </w:p>
        </w:tc>
      </w:tr>
    </w:tbl>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r>
        <w:rPr>
          <w:rFonts w:ascii="Times New Roman" w:hAnsi="Times New Roman" w:eastAsia="Times New Roman" w:cs="Times New Roman"/>
          <w:sz w:val="24"/>
        </w:rPr>
        <w:br w:type="page"/>
      </w:r>
    </w:p>
    <w:tbl>
      <w:tblPr>
        <w:tblStyle w:val="16"/>
        <w:tblW w:w="9573" w:type="dxa"/>
        <w:jc w:val="center"/>
        <w:tblInd w:w="0" w:type="dxa"/>
        <w:tblLayout w:type="fixed"/>
        <w:tblCellMar>
          <w:top w:w="39" w:type="dxa"/>
          <w:left w:w="108" w:type="dxa"/>
          <w:bottom w:w="0" w:type="dxa"/>
          <w:right w:w="77" w:type="dxa"/>
        </w:tblCellMar>
      </w:tblPr>
      <w:tblGrid>
        <w:gridCol w:w="959"/>
        <w:gridCol w:w="1438"/>
        <w:gridCol w:w="1246"/>
        <w:gridCol w:w="878"/>
        <w:gridCol w:w="438"/>
        <w:gridCol w:w="1278"/>
        <w:gridCol w:w="1027"/>
        <w:gridCol w:w="87"/>
        <w:gridCol w:w="1229"/>
        <w:gridCol w:w="993"/>
      </w:tblGrid>
      <w:tr>
        <w:tblPrEx>
          <w:tblLayout w:type="fixed"/>
          <w:tblCellMar>
            <w:top w:w="39" w:type="dxa"/>
            <w:left w:w="108" w:type="dxa"/>
            <w:bottom w:w="0" w:type="dxa"/>
            <w:right w:w="77" w:type="dxa"/>
          </w:tblCellMar>
        </w:tblPrEx>
        <w:trPr>
          <w:trHeight w:val="1116"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132"/>
            </w:pPr>
            <w:r>
              <w:rPr>
                <w:rFonts w:ascii="微软雅黑" w:hAnsi="微软雅黑" w:eastAsia="微软雅黑" w:cs="微软雅黑"/>
                <w:sz w:val="24"/>
              </w:rPr>
              <w:t>姓名</w:t>
            </w:r>
            <w:r>
              <w:rPr>
                <w:rFonts w:ascii="Times New Roman" w:hAnsi="Times New Roman" w:eastAsia="Times New Roman" w:cs="Times New Roman"/>
                <w:sz w:val="24"/>
              </w:rPr>
              <w:t xml:space="preserve"> </w:t>
            </w:r>
          </w:p>
        </w:tc>
        <w:tc>
          <w:tcPr>
            <w:tcW w:w="143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6"/>
              <w:jc w:val="center"/>
            </w:pPr>
            <w:r>
              <w:rPr>
                <w:rFonts w:ascii="Times New Roman" w:hAnsi="Times New Roman" w:cs="Times New Roman"/>
                <w:sz w:val="26"/>
                <w:szCs w:val="26"/>
              </w:rPr>
              <w:t>Conrad Bessant</w:t>
            </w:r>
          </w:p>
        </w:tc>
        <w:tc>
          <w:tcPr>
            <w:tcW w:w="124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34"/>
              <w:jc w:val="center"/>
            </w:pPr>
            <w:r>
              <w:rPr>
                <w:rFonts w:ascii="微软雅黑" w:hAnsi="微软雅黑" w:eastAsia="微软雅黑" w:cs="微软雅黑"/>
                <w:sz w:val="24"/>
              </w:rPr>
              <w:t>性别</w:t>
            </w:r>
            <w:r>
              <w:rPr>
                <w:rFonts w:ascii="Times New Roman" w:hAnsi="Times New Roman" w:eastAsia="Times New Roman" w:cs="Times New Roman"/>
                <w:sz w:val="24"/>
              </w:rPr>
              <w:t xml:space="preserve"> </w:t>
            </w:r>
          </w:p>
        </w:tc>
        <w:tc>
          <w:tcPr>
            <w:tcW w:w="87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center"/>
              <w:rPr>
                <w:rFonts w:eastAsia="宋体"/>
              </w:rPr>
            </w:pPr>
            <w:r>
              <w:rPr>
                <w:rFonts w:hint="eastAsia" w:ascii="仿宋" w:hAnsi="仿宋" w:eastAsia="仿宋" w:cs="仿宋"/>
                <w:sz w:val="26"/>
                <w:szCs w:val="26"/>
              </w:rPr>
              <w:t>男</w:t>
            </w:r>
          </w:p>
        </w:tc>
        <w:tc>
          <w:tcPr>
            <w:tcW w:w="171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both"/>
            </w:pPr>
            <w:r>
              <w:rPr>
                <w:rFonts w:ascii="微软雅黑" w:hAnsi="微软雅黑" w:eastAsia="微软雅黑" w:cs="微软雅黑"/>
                <w:sz w:val="24"/>
              </w:rPr>
              <w:t>专业技术职务</w:t>
            </w:r>
            <w:r>
              <w:rPr>
                <w:rFonts w:ascii="Times New Roman" w:hAnsi="Times New Roman" w:eastAsia="Times New Roman" w:cs="Times New Roman"/>
                <w:sz w:val="24"/>
              </w:rPr>
              <w:t xml:space="preserve"> </w:t>
            </w:r>
          </w:p>
        </w:tc>
        <w:tc>
          <w:tcPr>
            <w:tcW w:w="111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3"/>
              <w:jc w:val="center"/>
              <w:rPr>
                <w:rFonts w:eastAsia="宋体"/>
              </w:rPr>
            </w:pPr>
            <w:r>
              <w:rPr>
                <w:rFonts w:hint="eastAsia" w:ascii="仿宋" w:hAnsi="仿宋" w:eastAsia="仿宋" w:cs="仿宋"/>
                <w:sz w:val="26"/>
                <w:szCs w:val="26"/>
              </w:rPr>
              <w:t>教授</w:t>
            </w:r>
          </w:p>
        </w:tc>
        <w:tc>
          <w:tcPr>
            <w:tcW w:w="122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4"/>
              <w:jc w:val="both"/>
            </w:pPr>
            <w:r>
              <w:rPr>
                <w:rFonts w:ascii="微软雅黑" w:hAnsi="微软雅黑" w:eastAsia="微软雅黑" w:cs="微软雅黑"/>
                <w:sz w:val="24"/>
              </w:rPr>
              <w:t>行政职务</w:t>
            </w:r>
            <w:r>
              <w:rPr>
                <w:rFonts w:ascii="Times New Roman" w:hAnsi="Times New Roman" w:eastAsia="Times New Roman" w:cs="Times New Roman"/>
                <w:sz w:val="24"/>
              </w:rPr>
              <w:t xml:space="preserve"> </w:t>
            </w:r>
          </w:p>
        </w:tc>
        <w:tc>
          <w:tcPr>
            <w:tcW w:w="99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1"/>
              <w:jc w:val="center"/>
              <w:rPr>
                <w:rFonts w:eastAsia="宋体"/>
              </w:rPr>
            </w:pPr>
            <w:r>
              <w:rPr>
                <w:rFonts w:ascii="Times New Roman" w:hAnsi="Times New Roman" w:eastAsia="Times New Roman" w:cs="Times New Roman"/>
                <w:sz w:val="24"/>
              </w:rPr>
              <w:t xml:space="preserve"> </w:t>
            </w:r>
            <w:r>
              <w:rPr>
                <w:rFonts w:hint="eastAsia" w:ascii="仿宋" w:hAnsi="仿宋" w:eastAsia="仿宋" w:cs="仿宋"/>
                <w:sz w:val="26"/>
                <w:szCs w:val="26"/>
              </w:rPr>
              <w:t>无</w:t>
            </w:r>
          </w:p>
        </w:tc>
      </w:tr>
      <w:tr>
        <w:tblPrEx>
          <w:tblLayout w:type="fixed"/>
          <w:tblCellMar>
            <w:top w:w="39" w:type="dxa"/>
            <w:left w:w="108" w:type="dxa"/>
            <w:bottom w:w="0" w:type="dxa"/>
            <w:right w:w="77" w:type="dxa"/>
          </w:tblCellMar>
        </w:tblPrEx>
        <w:trPr>
          <w:trHeight w:val="1114"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拟承担课程</w:t>
            </w:r>
            <w:r>
              <w:rPr>
                <w:rFonts w:ascii="Times New Roman" w:hAnsi="Times New Roman" w:eastAsia="Times New Roman" w:cs="Times New Roman"/>
                <w:sz w:val="24"/>
              </w:rPr>
              <w:t xml:space="preserve"> </w:t>
            </w:r>
          </w:p>
        </w:tc>
        <w:tc>
          <w:tcPr>
            <w:tcW w:w="3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hint="eastAsia" w:ascii="仿宋" w:hAnsi="仿宋" w:eastAsia="仿宋" w:cs="仿宋"/>
                <w:sz w:val="26"/>
                <w:szCs w:val="26"/>
              </w:rPr>
              <w:t>生物信息学、临床化学</w:t>
            </w:r>
          </w:p>
        </w:tc>
        <w:tc>
          <w:tcPr>
            <w:tcW w:w="171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9"/>
              <w:jc w:val="both"/>
            </w:pPr>
            <w:r>
              <w:rPr>
                <w:rFonts w:ascii="微软雅黑" w:hAnsi="微软雅黑" w:eastAsia="微软雅黑" w:cs="微软雅黑"/>
                <w:sz w:val="24"/>
              </w:rPr>
              <w:t>现在所在单位</w:t>
            </w:r>
            <w:r>
              <w:rPr>
                <w:rFonts w:ascii="Times New Roman" w:hAnsi="Times New Roman" w:eastAsia="Times New Roman" w:cs="Times New Roman"/>
                <w:sz w:val="24"/>
              </w:rPr>
              <w:t xml:space="preserve"> </w:t>
            </w:r>
          </w:p>
        </w:tc>
        <w:tc>
          <w:tcPr>
            <w:tcW w:w="3336" w:type="dxa"/>
            <w:gridSpan w:val="4"/>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27"/>
              <w:jc w:val="center"/>
            </w:pPr>
            <w:r>
              <w:rPr>
                <w:rFonts w:hint="eastAsia" w:ascii="仿宋" w:hAnsi="仿宋" w:eastAsia="仿宋" w:cs="仿宋"/>
                <w:sz w:val="26"/>
                <w:szCs w:val="26"/>
              </w:rPr>
              <w:t>伦敦玛丽女王大学</w:t>
            </w:r>
          </w:p>
        </w:tc>
      </w:tr>
      <w:tr>
        <w:tblPrEx>
          <w:tblLayout w:type="fixed"/>
          <w:tblCellMar>
            <w:top w:w="39" w:type="dxa"/>
            <w:left w:w="108" w:type="dxa"/>
            <w:bottom w:w="0" w:type="dxa"/>
            <w:right w:w="77" w:type="dxa"/>
          </w:tblCellMar>
        </w:tblPrEx>
        <w:trPr>
          <w:trHeight w:val="1068"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最后学历毕业时间、学校、专业</w:t>
            </w:r>
            <w:r>
              <w:rPr>
                <w:rFonts w:ascii="Times New Roman" w:hAnsi="Times New Roman" w:eastAsia="Times New Roman" w:cs="Times New Roman"/>
                <w:sz w:val="24"/>
              </w:rPr>
              <w:t xml:space="preserve"> </w:t>
            </w:r>
          </w:p>
        </w:tc>
        <w:tc>
          <w:tcPr>
            <w:tcW w:w="7176" w:type="dxa"/>
            <w:gridSpan w:val="8"/>
            <w:tcBorders>
              <w:top w:val="single" w:color="000000" w:sz="4" w:space="0"/>
              <w:left w:val="single" w:color="000000" w:sz="4" w:space="0"/>
              <w:bottom w:val="single" w:color="000000" w:sz="4" w:space="0"/>
              <w:right w:val="single" w:color="000000" w:sz="4" w:space="0"/>
            </w:tcBorders>
            <w:vAlign w:val="center"/>
          </w:tcPr>
          <w:p>
            <w:pPr>
              <w:spacing w:after="12" w:line="240" w:lineRule="auto"/>
              <w:rPr>
                <w:rFonts w:ascii="Times New Roman" w:hAnsi="Times New Roman" w:eastAsia="Times New Roman" w:cs="Times New Roman"/>
                <w:sz w:val="24"/>
              </w:rPr>
            </w:pPr>
            <w:r>
              <w:rPr>
                <w:rFonts w:ascii="Times New Roman" w:hAnsi="Times New Roman" w:eastAsia="Times New Roman" w:cs="Times New Roman"/>
                <w:sz w:val="24"/>
              </w:rPr>
              <w:t xml:space="preserve"> </w:t>
            </w:r>
          </w:p>
          <w:p>
            <w:pPr>
              <w:spacing w:after="12" w:line="240" w:lineRule="auto"/>
              <w:rPr>
                <w:rFonts w:ascii="Times New Roman" w:hAnsi="Times New Roman" w:eastAsia="宋体" w:cs="Times New Roman"/>
              </w:rPr>
            </w:pPr>
            <w:r>
              <w:rPr>
                <w:rFonts w:ascii="Times New Roman" w:hAnsi="Times New Roman" w:eastAsia="仿宋" w:cs="Times New Roman"/>
                <w:sz w:val="26"/>
                <w:szCs w:val="26"/>
              </w:rPr>
              <w:t>1999，化学计量学与机器学习，伦敦克兰菲尔德大学</w:t>
            </w:r>
          </w:p>
          <w:p>
            <w:pPr>
              <w:spacing w:after="0" w:line="240" w:lineRule="auto"/>
            </w:pP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34"/>
              <w:jc w:val="center"/>
            </w:pPr>
            <w:r>
              <w:rPr>
                <w:rFonts w:ascii="微软雅黑" w:hAnsi="微软雅黑" w:eastAsia="微软雅黑" w:cs="微软雅黑"/>
                <w:sz w:val="24"/>
              </w:rPr>
              <w:t>主要研究方向</w:t>
            </w:r>
            <w:r>
              <w:rPr>
                <w:rFonts w:ascii="Times New Roman" w:hAnsi="Times New Roman" w:eastAsia="Times New Roman" w:cs="Times New Roman"/>
                <w:sz w:val="24"/>
              </w:rPr>
              <w:t xml:space="preserve"> </w:t>
            </w:r>
          </w:p>
        </w:tc>
        <w:tc>
          <w:tcPr>
            <w:tcW w:w="7176" w:type="dxa"/>
            <w:gridSpan w:val="8"/>
            <w:tcBorders>
              <w:top w:val="single" w:color="000000" w:sz="4" w:space="0"/>
              <w:left w:val="single" w:color="000000" w:sz="4" w:space="0"/>
              <w:bottom w:val="single" w:color="000000" w:sz="4" w:space="0"/>
              <w:right w:val="single" w:color="000000" w:sz="4" w:space="0"/>
            </w:tcBorders>
            <w:vAlign w:val="center"/>
          </w:tcPr>
          <w:p>
            <w:pPr>
              <w:spacing w:after="12" w:line="240" w:lineRule="auto"/>
              <w:rPr>
                <w:rFonts w:ascii="仿宋" w:hAnsi="仿宋" w:eastAsia="仿宋" w:cs="仿宋"/>
                <w:sz w:val="26"/>
                <w:szCs w:val="26"/>
              </w:rPr>
            </w:pPr>
          </w:p>
          <w:p>
            <w:pPr>
              <w:spacing w:after="12" w:line="240" w:lineRule="auto"/>
              <w:rPr>
                <w:rFonts w:ascii="仿宋" w:hAnsi="仿宋" w:eastAsia="仿宋" w:cs="仿宋"/>
                <w:sz w:val="26"/>
                <w:szCs w:val="26"/>
              </w:rPr>
            </w:pPr>
            <w:r>
              <w:rPr>
                <w:rFonts w:ascii="仿宋" w:hAnsi="仿宋" w:eastAsia="仿宋" w:cs="仿宋"/>
                <w:sz w:val="26"/>
                <w:szCs w:val="26"/>
              </w:rPr>
              <w:t>蛋白质组生物信息学与机器学习</w:t>
            </w:r>
          </w:p>
          <w:p>
            <w:pPr>
              <w:spacing w:after="12" w:line="240" w:lineRule="auto"/>
              <w:rPr>
                <w:rFonts w:ascii="仿宋" w:hAnsi="仿宋" w:eastAsia="仿宋" w:cs="仿宋"/>
                <w:sz w:val="26"/>
                <w:szCs w:val="26"/>
              </w:rPr>
            </w:pPr>
          </w:p>
        </w:tc>
      </w:tr>
      <w:tr>
        <w:tblPrEx>
          <w:tblLayout w:type="fixed"/>
          <w:tblCellMar>
            <w:top w:w="39" w:type="dxa"/>
            <w:left w:w="108" w:type="dxa"/>
            <w:bottom w:w="0" w:type="dxa"/>
            <w:right w:w="77" w:type="dxa"/>
          </w:tblCellMar>
        </w:tblPrEx>
        <w:trPr>
          <w:trHeight w:val="1258"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tcPr>
          <w:p>
            <w:pPr>
              <w:spacing w:after="0" w:line="240" w:lineRule="auto"/>
              <w:jc w:val="center"/>
            </w:pPr>
            <w:r>
              <w:rPr>
                <w:rFonts w:ascii="微软雅黑" w:hAnsi="微软雅黑" w:eastAsia="微软雅黑" w:cs="微软雅黑"/>
                <w:sz w:val="24"/>
              </w:rPr>
              <w:t>从事教育教学改革研究及获奖情况（含教改项目、研究论文、慕课、教材等）</w:t>
            </w:r>
            <w:r>
              <w:rPr>
                <w:rFonts w:ascii="Times New Roman" w:hAnsi="Times New Roman" w:eastAsia="Times New Roman" w:cs="Times New Roman"/>
                <w:sz w:val="24"/>
              </w:rPr>
              <w:t xml:space="preserve"> </w:t>
            </w:r>
          </w:p>
        </w:tc>
        <w:tc>
          <w:tcPr>
            <w:tcW w:w="7176" w:type="dxa"/>
            <w:gridSpan w:val="8"/>
            <w:tcBorders>
              <w:top w:val="single" w:color="000000" w:sz="4" w:space="0"/>
              <w:left w:val="single" w:color="000000" w:sz="4" w:space="0"/>
              <w:bottom w:val="single" w:color="000000" w:sz="4" w:space="0"/>
              <w:right w:val="single" w:color="000000" w:sz="4" w:space="0"/>
            </w:tcBorders>
            <w:vAlign w:val="center"/>
          </w:tcPr>
          <w:p>
            <w:pPr>
              <w:numPr>
                <w:ilvl w:val="0"/>
                <w:numId w:val="2"/>
              </w:numPr>
              <w:spacing w:after="12" w:line="240" w:lineRule="auto"/>
              <w:rPr>
                <w:rFonts w:ascii="Times New Roman" w:hAnsi="Times New Roman" w:eastAsia="仿宋" w:cs="Times New Roman"/>
                <w:sz w:val="26"/>
                <w:szCs w:val="26"/>
              </w:rPr>
            </w:pPr>
            <w:r>
              <w:rPr>
                <w:rFonts w:ascii="Times New Roman" w:hAnsi="Times New Roman" w:eastAsia="仿宋" w:cs="Times New Roman"/>
                <w:sz w:val="26"/>
                <w:szCs w:val="26"/>
              </w:rPr>
              <w:t>Proteomics informed by transcriptomics(由转录组学调控的蛋白质组学),BBSRC; Queen Mary University of London, 2018</w:t>
            </w:r>
          </w:p>
          <w:p>
            <w:pPr>
              <w:numPr>
                <w:ilvl w:val="0"/>
                <w:numId w:val="2"/>
              </w:numPr>
              <w:spacing w:after="12" w:line="240" w:lineRule="auto"/>
              <w:rPr>
                <w:rFonts w:ascii="仿宋" w:hAnsi="仿宋" w:eastAsia="仿宋" w:cs="仿宋"/>
                <w:sz w:val="26"/>
                <w:szCs w:val="26"/>
              </w:rPr>
            </w:pPr>
            <w:r>
              <w:rPr>
                <w:rFonts w:ascii="Times New Roman" w:hAnsi="Times New Roman" w:eastAsia="仿宋" w:cs="Times New Roman"/>
                <w:sz w:val="26"/>
                <w:szCs w:val="26"/>
              </w:rPr>
              <w:t>Automated Learning in Cancer(癌症的自我学习能力), MRC; Alan Turing Institute,  2016</w:t>
            </w:r>
          </w:p>
        </w:tc>
      </w:tr>
      <w:tr>
        <w:tblPrEx>
          <w:tblLayout w:type="fixed"/>
          <w:tblCellMar>
            <w:top w:w="39" w:type="dxa"/>
            <w:left w:w="108" w:type="dxa"/>
            <w:bottom w:w="0" w:type="dxa"/>
            <w:right w:w="77" w:type="dxa"/>
          </w:tblCellMar>
        </w:tblPrEx>
        <w:trPr>
          <w:trHeight w:val="1114"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cs="Times New Roman"/>
              </w:rPr>
            </w:pPr>
            <w:r>
              <w:rPr>
                <w:rFonts w:ascii="Times New Roman" w:hAnsi="Times New Roman" w:eastAsia="微软雅黑" w:cs="Times New Roman"/>
                <w:sz w:val="24"/>
              </w:rPr>
              <w:t>从事科学研究及获奖情况</w:t>
            </w:r>
            <w:r>
              <w:rPr>
                <w:rFonts w:ascii="Times New Roman" w:hAnsi="Times New Roman" w:eastAsia="Times New Roman" w:cs="Times New Roman"/>
                <w:sz w:val="24"/>
              </w:rPr>
              <w:t xml:space="preserve"> </w:t>
            </w:r>
          </w:p>
        </w:tc>
        <w:tc>
          <w:tcPr>
            <w:tcW w:w="7176" w:type="dxa"/>
            <w:gridSpan w:val="8"/>
            <w:tcBorders>
              <w:top w:val="single" w:color="000000" w:sz="4" w:space="0"/>
              <w:left w:val="single" w:color="000000" w:sz="4" w:space="0"/>
              <w:bottom w:val="single" w:color="000000" w:sz="4" w:space="0"/>
              <w:right w:val="single" w:color="000000" w:sz="4" w:space="0"/>
            </w:tcBorders>
            <w:vAlign w:val="center"/>
          </w:tcPr>
          <w:p>
            <w:pPr>
              <w:numPr>
                <w:ilvl w:val="0"/>
                <w:numId w:val="3"/>
              </w:numPr>
              <w:spacing w:after="12" w:line="240" w:lineRule="auto"/>
              <w:rPr>
                <w:rFonts w:ascii="Times New Roman" w:hAnsi="Times New Roman" w:eastAsia="仿宋" w:cs="Times New Roman"/>
                <w:sz w:val="26"/>
                <w:szCs w:val="26"/>
              </w:rPr>
            </w:pPr>
            <w:r>
              <w:rPr>
                <w:rFonts w:ascii="Times New Roman" w:hAnsi="Times New Roman" w:eastAsia="仿宋" w:cs="Times New Roman"/>
                <w:sz w:val="26"/>
                <w:szCs w:val="26"/>
              </w:rPr>
              <w:t>Understanding the role of retrotransposons in cancer using large-scale proteomics experiments(利用大规模的蛋白质组学实验了解逆转录转座子在癌症中的作用), QMUL, 2017-2019</w:t>
            </w:r>
          </w:p>
          <w:p>
            <w:pPr>
              <w:numPr>
                <w:ilvl w:val="0"/>
                <w:numId w:val="3"/>
              </w:numPr>
              <w:spacing w:after="12" w:line="240" w:lineRule="auto"/>
              <w:rPr>
                <w:rFonts w:ascii="Times New Roman" w:hAnsi="Times New Roman" w:eastAsia="宋体" w:cs="Times New Roman"/>
              </w:rPr>
            </w:pPr>
            <w:r>
              <w:rPr>
                <w:rFonts w:ascii="Times New Roman" w:hAnsi="Times New Roman" w:eastAsia="仿宋" w:cs="Times New Roman"/>
                <w:sz w:val="26"/>
                <w:szCs w:val="26"/>
              </w:rPr>
              <w:t>Mining social media for clinical insights(挖掘社交媒体的临床见解), European Commission, 2016</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近三年获得教学研究经费（万元）</w:t>
            </w:r>
            <w:r>
              <w:rPr>
                <w:rFonts w:ascii="Times New Roman" w:hAnsi="Times New Roman" w:eastAsia="Times New Roman" w:cs="Times New Roman"/>
                <w:sz w:val="24"/>
              </w:rPr>
              <w:t xml:space="preserve"> </w:t>
            </w:r>
          </w:p>
        </w:tc>
        <w:tc>
          <w:tcPr>
            <w:tcW w:w="2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仿宋" w:cs="Times New Roman"/>
                <w:sz w:val="26"/>
                <w:szCs w:val="26"/>
              </w:rPr>
              <w:t>48.5万元</w:t>
            </w:r>
          </w:p>
        </w:tc>
        <w:tc>
          <w:tcPr>
            <w:tcW w:w="2305"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近三年获得科学研究经费（万元）</w:t>
            </w:r>
            <w:r>
              <w:rPr>
                <w:rFonts w:ascii="Times New Roman" w:hAnsi="Times New Roman" w:eastAsia="Times New Roman" w:cs="Times New Roman"/>
                <w:sz w:val="24"/>
              </w:rPr>
              <w:t xml:space="preserve"> </w:t>
            </w:r>
          </w:p>
        </w:tc>
        <w:tc>
          <w:tcPr>
            <w:tcW w:w="2309"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黑体" w:cs="Times New Roman"/>
                <w:sz w:val="26"/>
                <w:szCs w:val="26"/>
              </w:rPr>
              <w:t>3</w:t>
            </w:r>
            <w:r>
              <w:rPr>
                <w:rFonts w:ascii="Times New Roman" w:hAnsi="Times New Roman" w:eastAsia="宋体" w:cs="Times New Roman"/>
                <w:sz w:val="26"/>
                <w:szCs w:val="26"/>
              </w:rPr>
              <w:t>00万元</w:t>
            </w:r>
          </w:p>
        </w:tc>
      </w:tr>
      <w:tr>
        <w:tblPrEx>
          <w:tblLayout w:type="fixed"/>
          <w:tblCellMar>
            <w:top w:w="39" w:type="dxa"/>
            <w:left w:w="108" w:type="dxa"/>
            <w:bottom w:w="0" w:type="dxa"/>
            <w:right w:w="77" w:type="dxa"/>
          </w:tblCellMar>
        </w:tblPrEx>
        <w:trPr>
          <w:trHeight w:val="1116" w:hRule="atLeast"/>
          <w:jc w:val="center"/>
        </w:trPr>
        <w:tc>
          <w:tcPr>
            <w:tcW w:w="2397"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近三年给本科生授课课程及学时数</w:t>
            </w:r>
            <w:r>
              <w:rPr>
                <w:rFonts w:ascii="Times New Roman" w:hAnsi="Times New Roman" w:eastAsia="Times New Roman" w:cs="Times New Roman"/>
                <w:sz w:val="24"/>
              </w:rPr>
              <w:t xml:space="preserve"> </w:t>
            </w:r>
          </w:p>
        </w:tc>
        <w:tc>
          <w:tcPr>
            <w:tcW w:w="2562"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仿宋" w:cs="Times New Roman"/>
                <w:sz w:val="26"/>
                <w:szCs w:val="26"/>
              </w:rPr>
              <w:t>450学时</w:t>
            </w:r>
          </w:p>
        </w:tc>
        <w:tc>
          <w:tcPr>
            <w:tcW w:w="2305"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近三年指导本科毕业设计（人次）</w:t>
            </w:r>
            <w:r>
              <w:rPr>
                <w:rFonts w:ascii="Times New Roman" w:hAnsi="Times New Roman" w:eastAsia="Times New Roman" w:cs="Times New Roman"/>
                <w:sz w:val="24"/>
              </w:rPr>
              <w:t xml:space="preserve"> </w:t>
            </w:r>
          </w:p>
        </w:tc>
        <w:tc>
          <w:tcPr>
            <w:tcW w:w="2309"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eastAsia="宋体"/>
              </w:rPr>
            </w:pPr>
            <w:r>
              <w:rPr>
                <w:rFonts w:ascii="Times New Roman" w:hAnsi="Times New Roman" w:eastAsia="宋体" w:cs="Times New Roman"/>
                <w:sz w:val="26"/>
                <w:szCs w:val="26"/>
              </w:rPr>
              <w:t>3</w:t>
            </w:r>
            <w:r>
              <w:rPr>
                <w:rFonts w:ascii="Times New Roman" w:hAnsi="Times New Roman" w:eastAsia="仿宋" w:cs="Times New Roman"/>
                <w:sz w:val="26"/>
                <w:szCs w:val="26"/>
              </w:rPr>
              <w:t>0人次</w:t>
            </w:r>
          </w:p>
        </w:tc>
      </w:tr>
    </w:tbl>
    <w:p>
      <w:pPr>
        <w:rPr>
          <w:rFonts w:ascii="Times New Roman" w:hAnsi="Times New Roman" w:eastAsia="Times New Roman" w:cs="Times New Roman"/>
          <w:sz w:val="24"/>
        </w:rPr>
      </w:pPr>
    </w:p>
    <w:p>
      <w:r>
        <w:br w:type="page"/>
      </w:r>
    </w:p>
    <w:p>
      <w:pPr>
        <w:pStyle w:val="3"/>
        <w:ind w:left="0" w:right="26" w:firstLine="360" w:firstLineChars="100"/>
        <w:jc w:val="center"/>
      </w:pPr>
      <w:r>
        <w:t>6.教学条件情况表</w:t>
      </w:r>
    </w:p>
    <w:tbl>
      <w:tblPr>
        <w:tblStyle w:val="16"/>
        <w:tblW w:w="9638" w:type="dxa"/>
        <w:jc w:val="center"/>
        <w:tblInd w:w="-65" w:type="dxa"/>
        <w:tblLayout w:type="fixed"/>
        <w:tblCellMar>
          <w:top w:w="38" w:type="dxa"/>
          <w:left w:w="108" w:type="dxa"/>
          <w:bottom w:w="0" w:type="dxa"/>
          <w:right w:w="0" w:type="dxa"/>
        </w:tblCellMar>
      </w:tblPr>
      <w:tblGrid>
        <w:gridCol w:w="3252"/>
        <w:gridCol w:w="1597"/>
        <w:gridCol w:w="2979"/>
        <w:gridCol w:w="1810"/>
      </w:tblGrid>
      <w:tr>
        <w:tblPrEx>
          <w:tblLayout w:type="fixed"/>
          <w:tblCellMar>
            <w:top w:w="38" w:type="dxa"/>
            <w:left w:w="108" w:type="dxa"/>
            <w:bottom w:w="0" w:type="dxa"/>
            <w:right w:w="0" w:type="dxa"/>
          </w:tblCellMar>
        </w:tblPrEx>
        <w:trPr>
          <w:trHeight w:val="1016" w:hRule="atLeast"/>
          <w:jc w:val="center"/>
        </w:trPr>
        <w:tc>
          <w:tcPr>
            <w:tcW w:w="3252" w:type="dxa"/>
            <w:tcBorders>
              <w:top w:val="single" w:color="000000" w:sz="4" w:space="0"/>
              <w:left w:val="single" w:color="000000" w:sz="4" w:space="0"/>
              <w:bottom w:val="single" w:color="000000" w:sz="4" w:space="0"/>
              <w:right w:val="single" w:color="000000" w:sz="4" w:space="0"/>
            </w:tcBorders>
          </w:tcPr>
          <w:p>
            <w:pPr>
              <w:spacing w:after="0" w:line="240" w:lineRule="auto"/>
              <w:jc w:val="center"/>
            </w:pPr>
            <w:r>
              <w:rPr>
                <w:rFonts w:ascii="微软雅黑" w:hAnsi="微软雅黑" w:eastAsia="微软雅黑" w:cs="微软雅黑"/>
                <w:sz w:val="24"/>
              </w:rPr>
              <w:t>可用于该专业的教学实验设备总价值（万元）</w:t>
            </w:r>
            <w:r>
              <w:rPr>
                <w:rFonts w:ascii="Times New Roman" w:hAnsi="Times New Roman" w:eastAsia="Times New Roman" w:cs="Times New Roman"/>
                <w:sz w:val="24"/>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3"/>
              <w:jc w:val="center"/>
              <w:rPr>
                <w:rFonts w:eastAsia="宋体"/>
              </w:rPr>
            </w:pPr>
            <w:r>
              <w:rPr>
                <w:rFonts w:ascii="Times New Roman" w:hAnsi="Times New Roman" w:eastAsia="仿宋" w:cs="Times New Roman"/>
                <w:sz w:val="26"/>
                <w:szCs w:val="26"/>
              </w:rPr>
              <w:t xml:space="preserve"> 580万</w:t>
            </w:r>
          </w:p>
        </w:tc>
        <w:tc>
          <w:tcPr>
            <w:tcW w:w="2979" w:type="dxa"/>
            <w:tcBorders>
              <w:top w:val="single" w:color="000000" w:sz="4" w:space="0"/>
              <w:left w:val="single" w:color="000000" w:sz="4" w:space="0"/>
              <w:bottom w:val="single" w:color="000000" w:sz="4" w:space="0"/>
              <w:right w:val="single" w:color="000000" w:sz="4" w:space="0"/>
            </w:tcBorders>
          </w:tcPr>
          <w:p>
            <w:pPr>
              <w:spacing w:after="0" w:line="240" w:lineRule="auto"/>
              <w:ind w:right="-9"/>
            </w:pPr>
            <w:r>
              <w:rPr>
                <w:rFonts w:ascii="微软雅黑" w:hAnsi="微软雅黑" w:eastAsia="微软雅黑" w:cs="微软雅黑"/>
                <w:sz w:val="24"/>
              </w:rPr>
              <w:t>可用于该专业的教学实验设备数量（千元以上）</w:t>
            </w:r>
            <w:r>
              <w:rPr>
                <w:rFonts w:ascii="Times New Roman" w:hAnsi="Times New Roman" w:eastAsia="Times New Roman" w:cs="Times New Roman"/>
                <w:sz w:val="24"/>
              </w:rPr>
              <w:t xml:space="preserve"> </w:t>
            </w:r>
          </w:p>
        </w:tc>
        <w:tc>
          <w:tcPr>
            <w:tcW w:w="181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48"/>
              <w:jc w:val="center"/>
              <w:rPr>
                <w:rFonts w:eastAsia="宋体"/>
              </w:rPr>
            </w:pPr>
            <w:r>
              <w:rPr>
                <w:rFonts w:ascii="Times New Roman" w:hAnsi="Times New Roman" w:eastAsia="Times New Roman" w:cs="Times New Roman"/>
                <w:sz w:val="24"/>
              </w:rPr>
              <w:t xml:space="preserve"> </w:t>
            </w:r>
            <w:r>
              <w:rPr>
                <w:rFonts w:ascii="Times New Roman" w:hAnsi="Times New Roman" w:eastAsia="仿宋" w:cs="Times New Roman"/>
                <w:sz w:val="26"/>
                <w:szCs w:val="26"/>
              </w:rPr>
              <w:t>42</w:t>
            </w:r>
            <w:r>
              <w:rPr>
                <w:rFonts w:hint="eastAsia" w:ascii="Times New Roman" w:hAnsi="Times New Roman" w:eastAsia="仿宋" w:cs="Times New Roman"/>
                <w:sz w:val="26"/>
                <w:szCs w:val="26"/>
              </w:rPr>
              <w:t>2</w:t>
            </w:r>
            <w:r>
              <w:rPr>
                <w:rFonts w:ascii="Times New Roman" w:hAnsi="Times New Roman" w:eastAsia="仿宋" w:cs="Times New Roman"/>
                <w:sz w:val="26"/>
                <w:szCs w:val="26"/>
              </w:rPr>
              <w:t>台</w:t>
            </w:r>
          </w:p>
        </w:tc>
      </w:tr>
      <w:tr>
        <w:tblPrEx>
          <w:tblLayout w:type="fixed"/>
          <w:tblCellMar>
            <w:top w:w="38" w:type="dxa"/>
            <w:left w:w="108" w:type="dxa"/>
            <w:bottom w:w="0" w:type="dxa"/>
            <w:right w:w="0" w:type="dxa"/>
          </w:tblCellMar>
        </w:tblPrEx>
        <w:trPr>
          <w:trHeight w:val="566" w:hRule="atLeast"/>
          <w:jc w:val="center"/>
        </w:trPr>
        <w:tc>
          <w:tcPr>
            <w:tcW w:w="325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111"/>
              <w:jc w:val="center"/>
            </w:pPr>
            <w:r>
              <w:rPr>
                <w:rFonts w:ascii="微软雅黑" w:hAnsi="微软雅黑" w:eastAsia="微软雅黑" w:cs="微软雅黑"/>
                <w:sz w:val="24"/>
              </w:rPr>
              <w:t>开办经费及来源</w:t>
            </w:r>
            <w:r>
              <w:rPr>
                <w:rFonts w:ascii="Times New Roman" w:hAnsi="Times New Roman" w:eastAsia="Times New Roman" w:cs="Times New Roman"/>
                <w:sz w:val="24"/>
              </w:rPr>
              <w:t xml:space="preserve"> </w:t>
            </w:r>
          </w:p>
        </w:tc>
        <w:tc>
          <w:tcPr>
            <w:tcW w:w="6386"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6"/>
              <w:jc w:val="center"/>
            </w:pPr>
            <w:r>
              <w:rPr>
                <w:rFonts w:hint="eastAsia" w:ascii="仿宋" w:hAnsi="仿宋" w:eastAsia="仿宋" w:cs="仿宋"/>
                <w:sz w:val="26"/>
                <w:szCs w:val="26"/>
              </w:rPr>
              <w:t xml:space="preserve">教育部拨款及学生学费 </w:t>
            </w:r>
          </w:p>
        </w:tc>
      </w:tr>
      <w:tr>
        <w:tblPrEx>
          <w:tblLayout w:type="fixed"/>
          <w:tblCellMar>
            <w:top w:w="38" w:type="dxa"/>
            <w:left w:w="108" w:type="dxa"/>
            <w:bottom w:w="0" w:type="dxa"/>
            <w:right w:w="0" w:type="dxa"/>
          </w:tblCellMar>
        </w:tblPrEx>
        <w:trPr>
          <w:trHeight w:val="566" w:hRule="atLeast"/>
          <w:jc w:val="center"/>
        </w:trPr>
        <w:tc>
          <w:tcPr>
            <w:tcW w:w="3252"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11"/>
              <w:jc w:val="both"/>
            </w:pPr>
            <w:r>
              <w:rPr>
                <w:rFonts w:ascii="微软雅黑" w:hAnsi="微软雅黑" w:eastAsia="微软雅黑" w:cs="微软雅黑"/>
                <w:sz w:val="24"/>
              </w:rPr>
              <w:t>生均年教学日常支出（元）</w:t>
            </w:r>
            <w:r>
              <w:rPr>
                <w:rFonts w:ascii="Times New Roman" w:hAnsi="Times New Roman" w:eastAsia="Times New Roman" w:cs="Times New Roman"/>
                <w:sz w:val="24"/>
              </w:rPr>
              <w:t xml:space="preserve"> </w:t>
            </w:r>
          </w:p>
        </w:tc>
        <w:tc>
          <w:tcPr>
            <w:tcW w:w="6386"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ind w:right="56"/>
              <w:jc w:val="center"/>
            </w:pPr>
            <w:r>
              <w:rPr>
                <w:rFonts w:ascii="Times New Roman" w:hAnsi="Times New Roman" w:eastAsia="仿宋" w:cs="Times New Roman"/>
                <w:sz w:val="26"/>
                <w:szCs w:val="26"/>
              </w:rPr>
              <w:t xml:space="preserve"> 4万 </w:t>
            </w:r>
          </w:p>
        </w:tc>
      </w:tr>
      <w:tr>
        <w:tblPrEx>
          <w:tblLayout w:type="fixed"/>
          <w:tblCellMar>
            <w:top w:w="38" w:type="dxa"/>
            <w:left w:w="108" w:type="dxa"/>
            <w:bottom w:w="0" w:type="dxa"/>
            <w:right w:w="0" w:type="dxa"/>
          </w:tblCellMar>
        </w:tblPrEx>
        <w:trPr>
          <w:trHeight w:val="1414" w:hRule="atLeast"/>
          <w:jc w:val="center"/>
        </w:trPr>
        <w:tc>
          <w:tcPr>
            <w:tcW w:w="3252" w:type="dxa"/>
            <w:tcBorders>
              <w:top w:val="single" w:color="000000" w:sz="4" w:space="0"/>
              <w:left w:val="single" w:color="000000" w:sz="4" w:space="0"/>
              <w:bottom w:val="single" w:color="000000" w:sz="4" w:space="0"/>
              <w:right w:val="single" w:color="000000" w:sz="6" w:space="0"/>
            </w:tcBorders>
          </w:tcPr>
          <w:p>
            <w:pPr>
              <w:spacing w:after="21" w:line="240" w:lineRule="auto"/>
              <w:ind w:left="283"/>
            </w:pPr>
            <w:r>
              <w:rPr>
                <w:rFonts w:ascii="微软雅黑" w:hAnsi="微软雅黑" w:eastAsia="微软雅黑" w:cs="微软雅黑"/>
                <w:sz w:val="24"/>
              </w:rPr>
              <w:t>实践教学基地（个）</w:t>
            </w:r>
            <w:r>
              <w:rPr>
                <w:rFonts w:ascii="Times New Roman" w:hAnsi="Times New Roman" w:eastAsia="Times New Roman" w:cs="Times New Roman"/>
                <w:sz w:val="24"/>
              </w:rPr>
              <w:t xml:space="preserve"> </w:t>
            </w:r>
          </w:p>
          <w:p>
            <w:pPr>
              <w:spacing w:after="0" w:line="240" w:lineRule="auto"/>
              <w:ind w:left="163"/>
            </w:pPr>
            <w:r>
              <w:rPr>
                <w:rFonts w:ascii="微软雅黑" w:hAnsi="微软雅黑" w:eastAsia="微软雅黑" w:cs="微软雅黑"/>
                <w:sz w:val="24"/>
              </w:rPr>
              <w:t>（请上传合作协议等）</w:t>
            </w:r>
            <w:r>
              <w:rPr>
                <w:rFonts w:ascii="Times New Roman" w:hAnsi="Times New Roman" w:eastAsia="Times New Roman" w:cs="Times New Roman"/>
                <w:sz w:val="24"/>
              </w:rPr>
              <w:t xml:space="preserve"> </w:t>
            </w:r>
          </w:p>
        </w:tc>
        <w:tc>
          <w:tcPr>
            <w:tcW w:w="6386" w:type="dxa"/>
            <w:gridSpan w:val="3"/>
            <w:tcBorders>
              <w:top w:val="single" w:color="000000" w:sz="4" w:space="0"/>
              <w:left w:val="single" w:color="000000" w:sz="6" w:space="0"/>
              <w:bottom w:val="single" w:color="000000" w:sz="4" w:space="0"/>
              <w:right w:val="single" w:color="000000" w:sz="4" w:space="0"/>
            </w:tcBorders>
            <w:vAlign w:val="center"/>
          </w:tcPr>
          <w:p>
            <w:pPr>
              <w:spacing w:after="0" w:line="240" w:lineRule="auto"/>
              <w:ind w:right="51"/>
            </w:pPr>
            <w:r>
              <w:rPr>
                <w:rFonts w:hint="eastAsia" w:ascii="仿宋" w:hAnsi="仿宋" w:eastAsia="仿宋" w:cs="仿宋"/>
                <w:sz w:val="26"/>
                <w:szCs w:val="26"/>
              </w:rPr>
              <w:t xml:space="preserve">南昌大学有第一、第二、第三和第四综合型直属附属医院，该项目的日常教学主要由第一、第二附属医学承担，临床实习可以四个附属医院为基地。 </w:t>
            </w:r>
          </w:p>
        </w:tc>
      </w:tr>
      <w:tr>
        <w:tblPrEx>
          <w:tblLayout w:type="fixed"/>
          <w:tblCellMar>
            <w:top w:w="38" w:type="dxa"/>
            <w:left w:w="108" w:type="dxa"/>
            <w:bottom w:w="0" w:type="dxa"/>
            <w:right w:w="0" w:type="dxa"/>
          </w:tblCellMar>
        </w:tblPrEx>
        <w:trPr>
          <w:trHeight w:val="636" w:hRule="atLeast"/>
          <w:jc w:val="center"/>
        </w:trPr>
        <w:tc>
          <w:tcPr>
            <w:tcW w:w="3252" w:type="dxa"/>
            <w:tcBorders>
              <w:top w:val="single" w:color="000000" w:sz="4" w:space="0"/>
              <w:left w:val="single" w:color="000000" w:sz="4" w:space="0"/>
              <w:bottom w:val="single" w:color="000000" w:sz="4" w:space="0"/>
              <w:right w:val="single" w:color="000000" w:sz="6" w:space="0"/>
            </w:tcBorders>
          </w:tcPr>
          <w:p>
            <w:pPr>
              <w:spacing w:after="0" w:line="240" w:lineRule="auto"/>
              <w:jc w:val="center"/>
              <w:rPr>
                <w:rFonts w:ascii="微软雅黑" w:hAnsi="微软雅黑" w:eastAsia="微软雅黑" w:cs="微软雅黑"/>
                <w:sz w:val="24"/>
              </w:rPr>
            </w:pPr>
          </w:p>
          <w:p>
            <w:pPr>
              <w:spacing w:after="0" w:line="240" w:lineRule="auto"/>
              <w:jc w:val="center"/>
              <w:rPr>
                <w:rFonts w:ascii="微软雅黑" w:hAnsi="微软雅黑" w:eastAsia="微软雅黑" w:cs="微软雅黑"/>
                <w:sz w:val="24"/>
              </w:rPr>
            </w:pPr>
          </w:p>
          <w:p>
            <w:pPr>
              <w:spacing w:after="0" w:line="240" w:lineRule="auto"/>
              <w:jc w:val="center"/>
            </w:pPr>
            <w:r>
              <w:rPr>
                <w:rFonts w:ascii="微软雅黑" w:hAnsi="微软雅黑" w:eastAsia="微软雅黑" w:cs="微软雅黑"/>
                <w:sz w:val="24"/>
              </w:rPr>
              <w:t>教学条件建设规划及保障措施</w:t>
            </w:r>
            <w:r>
              <w:rPr>
                <w:rFonts w:ascii="Times New Roman" w:hAnsi="Times New Roman" w:eastAsia="Times New Roman" w:cs="Times New Roman"/>
                <w:sz w:val="24"/>
              </w:rPr>
              <w:t xml:space="preserve"> </w:t>
            </w:r>
          </w:p>
        </w:tc>
        <w:tc>
          <w:tcPr>
            <w:tcW w:w="6386" w:type="dxa"/>
            <w:gridSpan w:val="3"/>
            <w:tcBorders>
              <w:top w:val="single" w:color="000000" w:sz="4" w:space="0"/>
              <w:left w:val="single" w:color="000000" w:sz="6" w:space="0"/>
              <w:bottom w:val="single" w:color="000000" w:sz="4" w:space="0"/>
              <w:right w:val="single" w:color="000000" w:sz="4" w:space="0"/>
            </w:tcBorders>
            <w:vAlign w:val="center"/>
          </w:tcPr>
          <w:p>
            <w:pPr>
              <w:spacing w:after="0" w:line="240" w:lineRule="auto"/>
              <w:ind w:right="51"/>
            </w:pPr>
            <w:r>
              <w:rPr>
                <w:rFonts w:ascii="Times New Roman" w:hAnsi="Times New Roman" w:eastAsia="仿宋" w:cs="Times New Roman"/>
                <w:sz w:val="26"/>
                <w:szCs w:val="26"/>
              </w:rPr>
              <w:t>南昌大学计划拨款人民币2000万元，其中100万元用于改建实验室1000平米，200万元用于改建教室、改进课堂教学设施，700万元用于购买精准医学仪器设备，1000万元用于招聘科研与教学高层次人才，从事该申报专业的教学</w:t>
            </w:r>
            <w:r>
              <w:rPr>
                <w:rFonts w:hint="eastAsia" w:ascii="Times New Roman" w:hAnsi="Times New Roman" w:eastAsia="仿宋" w:cs="Times New Roman"/>
                <w:sz w:val="26"/>
                <w:szCs w:val="26"/>
              </w:rPr>
              <w:t>工作</w:t>
            </w:r>
            <w:r>
              <w:rPr>
                <w:rFonts w:ascii="Times New Roman" w:hAnsi="Times New Roman" w:eastAsia="仿宋" w:cs="Times New Roman"/>
                <w:sz w:val="26"/>
                <w:szCs w:val="26"/>
              </w:rPr>
              <w:t>，实现科教合一，同时送派现有教师至合作方大学进修或接受继续教育，进一步提高业务水平。</w:t>
            </w:r>
            <w:r>
              <w:rPr>
                <w:rFonts w:hint="eastAsia" w:ascii="仿宋" w:hAnsi="仿宋" w:eastAsia="仿宋" w:cs="仿宋"/>
                <w:sz w:val="26"/>
                <w:szCs w:val="26"/>
              </w:rPr>
              <w:t xml:space="preserve"> </w:t>
            </w:r>
          </w:p>
        </w:tc>
      </w:tr>
    </w:tbl>
    <w:p>
      <w:pPr>
        <w:spacing w:after="268"/>
        <w:ind w:left="613"/>
        <w:jc w:val="center"/>
      </w:pPr>
      <w:r>
        <w:rPr>
          <w:rFonts w:ascii="Times New Roman" w:hAnsi="Times New Roman" w:eastAsia="Times New Roman" w:cs="Times New Roman"/>
          <w:sz w:val="24"/>
        </w:rPr>
        <w:t xml:space="preserve"> </w:t>
      </w:r>
    </w:p>
    <w:p>
      <w:pPr>
        <w:spacing w:after="0"/>
        <w:ind w:right="26"/>
        <w:jc w:val="both"/>
        <w:rPr>
          <w:rFonts w:ascii="微软雅黑" w:hAnsi="微软雅黑" w:eastAsia="微软雅黑" w:cs="微软雅黑"/>
          <w:sz w:val="30"/>
        </w:rPr>
      </w:pPr>
    </w:p>
    <w:p>
      <w:pPr>
        <w:spacing w:after="0"/>
        <w:ind w:right="26"/>
        <w:jc w:val="center"/>
        <w:rPr>
          <w:rFonts w:eastAsia="微软雅黑"/>
        </w:rPr>
      </w:pPr>
      <w:r>
        <w:rPr>
          <w:rFonts w:ascii="微软雅黑" w:hAnsi="微软雅黑" w:eastAsia="微软雅黑" w:cs="微软雅黑"/>
          <w:sz w:val="30"/>
        </w:rPr>
        <w:t>主要教学实验设备情况表</w:t>
      </w:r>
    </w:p>
    <w:tbl>
      <w:tblPr>
        <w:tblStyle w:val="16"/>
        <w:tblW w:w="95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
      <w:tblGrid>
        <w:gridCol w:w="2455"/>
        <w:gridCol w:w="1995"/>
        <w:gridCol w:w="1378"/>
        <w:gridCol w:w="1577"/>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spacing w:after="0" w:line="240" w:lineRule="auto"/>
              <w:ind w:left="50"/>
              <w:jc w:val="both"/>
            </w:pPr>
            <w:r>
              <w:rPr>
                <w:rFonts w:ascii="微软雅黑" w:hAnsi="微软雅黑" w:eastAsia="微软雅黑" w:cs="微软雅黑"/>
                <w:sz w:val="24"/>
              </w:rPr>
              <w:t>教学实验设备名称</w:t>
            </w:r>
            <w:r>
              <w:rPr>
                <w:rFonts w:ascii="Times New Roman" w:hAnsi="Times New Roman" w:eastAsia="Times New Roman" w:cs="Times New Roman"/>
                <w:sz w:val="24"/>
              </w:rPr>
              <w:t xml:space="preserve"> </w:t>
            </w:r>
          </w:p>
        </w:tc>
        <w:tc>
          <w:tcPr>
            <w:tcW w:w="1995" w:type="dxa"/>
            <w:vAlign w:val="center"/>
          </w:tcPr>
          <w:p>
            <w:pPr>
              <w:spacing w:after="0" w:line="240" w:lineRule="auto"/>
              <w:ind w:right="107"/>
              <w:jc w:val="center"/>
            </w:pPr>
            <w:r>
              <w:rPr>
                <w:rFonts w:ascii="微软雅黑" w:hAnsi="微软雅黑" w:eastAsia="微软雅黑" w:cs="微软雅黑"/>
                <w:sz w:val="24"/>
              </w:rPr>
              <w:t>型号规格</w:t>
            </w:r>
            <w:r>
              <w:rPr>
                <w:rFonts w:ascii="Times New Roman" w:hAnsi="Times New Roman" w:eastAsia="Times New Roman" w:cs="Times New Roman"/>
                <w:sz w:val="24"/>
              </w:rPr>
              <w:t xml:space="preserve"> </w:t>
            </w:r>
          </w:p>
        </w:tc>
        <w:tc>
          <w:tcPr>
            <w:tcW w:w="1378" w:type="dxa"/>
            <w:vAlign w:val="center"/>
          </w:tcPr>
          <w:p>
            <w:pPr>
              <w:spacing w:after="0" w:line="240" w:lineRule="auto"/>
              <w:ind w:right="108"/>
              <w:jc w:val="center"/>
            </w:pPr>
            <w:r>
              <w:rPr>
                <w:rFonts w:ascii="微软雅黑" w:hAnsi="微软雅黑" w:eastAsia="微软雅黑" w:cs="微软雅黑"/>
                <w:sz w:val="24"/>
              </w:rPr>
              <w:t>数量</w:t>
            </w:r>
            <w:r>
              <w:rPr>
                <w:rFonts w:ascii="Times New Roman" w:hAnsi="Times New Roman" w:eastAsia="Times New Roman" w:cs="Times New Roman"/>
                <w:sz w:val="24"/>
              </w:rPr>
              <w:t xml:space="preserve"> </w:t>
            </w:r>
          </w:p>
        </w:tc>
        <w:tc>
          <w:tcPr>
            <w:tcW w:w="1577" w:type="dxa"/>
            <w:vAlign w:val="center"/>
          </w:tcPr>
          <w:p>
            <w:pPr>
              <w:spacing w:after="0" w:line="240" w:lineRule="auto"/>
              <w:ind w:right="109"/>
              <w:jc w:val="center"/>
            </w:pPr>
            <w:r>
              <w:rPr>
                <w:rFonts w:ascii="微软雅黑" w:hAnsi="微软雅黑" w:eastAsia="微软雅黑" w:cs="微软雅黑"/>
                <w:sz w:val="24"/>
              </w:rPr>
              <w:t>购入时间</w:t>
            </w:r>
            <w:r>
              <w:rPr>
                <w:rFonts w:ascii="Times New Roman" w:hAnsi="Times New Roman" w:eastAsia="Times New Roman" w:cs="Times New Roman"/>
                <w:sz w:val="24"/>
              </w:rPr>
              <w:t xml:space="preserve"> </w:t>
            </w:r>
          </w:p>
        </w:tc>
        <w:tc>
          <w:tcPr>
            <w:tcW w:w="2168" w:type="dxa"/>
            <w:vAlign w:val="center"/>
          </w:tcPr>
          <w:p>
            <w:pPr>
              <w:spacing w:after="0" w:line="240" w:lineRule="auto"/>
              <w:ind w:right="-12"/>
              <w:jc w:val="both"/>
            </w:pPr>
            <w:r>
              <w:rPr>
                <w:rFonts w:ascii="微软雅黑" w:hAnsi="微软雅黑" w:eastAsia="微软雅黑" w:cs="微软雅黑"/>
                <w:sz w:val="24"/>
              </w:rPr>
              <w:t>设备价值（千元）</w:t>
            </w:r>
            <w:r>
              <w:rPr>
                <w:rFonts w:ascii="Times New Roman" w:hAnsi="Times New Roman" w:eastAsia="Times New Roman" w:cs="Times New Roman"/>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spacing w:after="0" w:line="240" w:lineRule="auto"/>
              <w:ind w:right="48"/>
              <w:jc w:val="center"/>
              <w:rPr>
                <w:rFonts w:ascii="Times New Roman" w:hAnsi="Times New Roman" w:eastAsia="仿宋" w:cs="Times New Roman"/>
              </w:rPr>
            </w:pPr>
            <w:r>
              <w:rPr>
                <w:rFonts w:ascii="Times New Roman" w:hAnsi="Times New Roman" w:eastAsia="仿宋" w:cs="Times New Roman"/>
                <w:sz w:val="26"/>
                <w:szCs w:val="26"/>
              </w:rPr>
              <w:t>4°冷藏柜</w:t>
            </w:r>
          </w:p>
        </w:tc>
        <w:tc>
          <w:tcPr>
            <w:tcW w:w="1995" w:type="dxa"/>
            <w:vAlign w:val="center"/>
          </w:tcPr>
          <w:p>
            <w:pPr>
              <w:tabs>
                <w:tab w:val="left" w:pos="321"/>
                <w:tab w:val="center" w:pos="908"/>
              </w:tabs>
              <w:spacing w:after="0" w:line="240" w:lineRule="auto"/>
              <w:ind w:right="47"/>
              <w:jc w:val="center"/>
            </w:pPr>
            <w:r>
              <w:rPr>
                <w:rFonts w:ascii="Times New Roman" w:hAnsi="Times New Roman" w:eastAsia="华文仿宋" w:cs="Times New Roman"/>
                <w:sz w:val="26"/>
                <w:szCs w:val="26"/>
              </w:rPr>
              <w:t>SCB-1350L</w:t>
            </w:r>
          </w:p>
        </w:tc>
        <w:tc>
          <w:tcPr>
            <w:tcW w:w="1378" w:type="dxa"/>
            <w:vAlign w:val="center"/>
          </w:tcPr>
          <w:p>
            <w:pPr>
              <w:spacing w:after="0" w:line="240" w:lineRule="auto"/>
              <w:ind w:right="48"/>
              <w:jc w:val="center"/>
            </w:pPr>
            <w:r>
              <w:rPr>
                <w:rFonts w:ascii="Times New Roman" w:hAnsi="Times New Roman" w:eastAsia="华文仿宋" w:cs="Times New Roman"/>
                <w:sz w:val="26"/>
                <w:szCs w:val="26"/>
              </w:rPr>
              <w:t>1</w:t>
            </w:r>
          </w:p>
        </w:tc>
        <w:tc>
          <w:tcPr>
            <w:tcW w:w="1577" w:type="dxa"/>
            <w:vAlign w:val="center"/>
          </w:tcPr>
          <w:p>
            <w:pPr>
              <w:tabs>
                <w:tab w:val="left" w:pos="419"/>
                <w:tab w:val="center" w:pos="907"/>
              </w:tabs>
              <w:spacing w:after="0" w:line="240" w:lineRule="auto"/>
              <w:ind w:right="49"/>
              <w:jc w:val="center"/>
            </w:pPr>
            <w:r>
              <w:rPr>
                <w:rFonts w:ascii="Times New Roman" w:hAnsi="Times New Roman" w:eastAsia="华文仿宋" w:cs="Times New Roman"/>
                <w:sz w:val="26"/>
                <w:szCs w:val="26"/>
              </w:rPr>
              <w:t>2016-10-09</w:t>
            </w:r>
          </w:p>
        </w:tc>
        <w:tc>
          <w:tcPr>
            <w:tcW w:w="2168" w:type="dxa"/>
            <w:vAlign w:val="center"/>
          </w:tcPr>
          <w:p>
            <w:pPr>
              <w:spacing w:after="0" w:line="240" w:lineRule="auto"/>
              <w:ind w:right="48"/>
              <w:jc w:val="center"/>
            </w:pPr>
            <w:r>
              <w:rPr>
                <w:rFonts w:ascii="Times New Roman" w:hAnsi="Times New Roman" w:eastAsia="华文仿宋" w:cs="Times New Roman"/>
                <w:sz w:val="26"/>
                <w:szCs w:val="26"/>
              </w:rPr>
              <w:t>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rPr>
            </w:pPr>
            <w:r>
              <w:rPr>
                <w:rFonts w:ascii="Times New Roman" w:hAnsi="Times New Roman" w:eastAsia="仿宋" w:cs="Times New Roman"/>
                <w:sz w:val="26"/>
                <w:szCs w:val="26"/>
                <w:lang w:bidi="ar"/>
              </w:rPr>
              <w:t>4度冷藏柜</w:t>
            </w:r>
          </w:p>
        </w:tc>
        <w:tc>
          <w:tcPr>
            <w:tcW w:w="1995" w:type="dxa"/>
            <w:vAlign w:val="center"/>
          </w:tcPr>
          <w:p>
            <w:pPr>
              <w:jc w:val="center"/>
              <w:textAlignment w:val="center"/>
            </w:pPr>
            <w:r>
              <w:rPr>
                <w:rFonts w:ascii="Times New Roman" w:hAnsi="Times New Roman" w:eastAsia="华文仿宋" w:cs="Times New Roman"/>
                <w:sz w:val="26"/>
                <w:szCs w:val="26"/>
                <w:lang w:bidi="ar"/>
              </w:rPr>
              <w:t>YC-2</w:t>
            </w:r>
          </w:p>
        </w:tc>
        <w:tc>
          <w:tcPr>
            <w:tcW w:w="1378" w:type="dxa"/>
            <w:vAlign w:val="center"/>
          </w:tcPr>
          <w:p>
            <w:pPr>
              <w:jc w:val="center"/>
              <w:textAlignment w:val="center"/>
            </w:pPr>
            <w:r>
              <w:rPr>
                <w:rFonts w:ascii="Times New Roman" w:hAnsi="Times New Roman" w:eastAsia="华文仿宋" w:cs="Times New Roman"/>
                <w:sz w:val="26"/>
                <w:szCs w:val="26"/>
                <w:lang w:bidi="ar"/>
              </w:rPr>
              <w:t>3</w:t>
            </w:r>
          </w:p>
        </w:tc>
        <w:tc>
          <w:tcPr>
            <w:tcW w:w="1577" w:type="dxa"/>
            <w:vAlign w:val="center"/>
          </w:tcPr>
          <w:p>
            <w:pPr>
              <w:jc w:val="center"/>
              <w:textAlignment w:val="cente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pPr>
            <w:r>
              <w:rPr>
                <w:rFonts w:ascii="Times New Roman" w:hAnsi="Times New Roman" w:eastAsia="华文仿宋" w:cs="Times New Roman"/>
                <w:sz w:val="26"/>
                <w:szCs w:val="26"/>
                <w:lang w:bidi="ar"/>
              </w:rPr>
              <w:t>22300.00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spacing w:after="0" w:line="240" w:lineRule="auto"/>
              <w:ind w:right="48"/>
              <w:jc w:val="center"/>
              <w:rPr>
                <w:rFonts w:ascii="Times New Roman" w:hAnsi="Times New Roman" w:eastAsia="仿宋" w:cs="Times New Roman"/>
              </w:rPr>
            </w:pPr>
            <w:r>
              <w:rPr>
                <w:rFonts w:ascii="Times New Roman" w:hAnsi="Times New Roman" w:eastAsia="仿宋" w:cs="Times New Roman"/>
                <w:sz w:val="26"/>
                <w:szCs w:val="26"/>
              </w:rPr>
              <w:t>-80度冰箱</w:t>
            </w:r>
          </w:p>
        </w:tc>
        <w:tc>
          <w:tcPr>
            <w:tcW w:w="1995" w:type="dxa"/>
            <w:vAlign w:val="center"/>
          </w:tcPr>
          <w:p>
            <w:pPr>
              <w:jc w:val="center"/>
              <w:textAlignment w:val="center"/>
            </w:pPr>
            <w:r>
              <w:rPr>
                <w:rFonts w:ascii="Times New Roman" w:hAnsi="Times New Roman" w:eastAsia="华文仿宋" w:cs="Times New Roman"/>
                <w:sz w:val="26"/>
                <w:szCs w:val="26"/>
                <w:lang w:bidi="ar"/>
              </w:rPr>
              <w:t>Forma 902</w:t>
            </w:r>
          </w:p>
        </w:tc>
        <w:tc>
          <w:tcPr>
            <w:tcW w:w="1378" w:type="dxa"/>
            <w:vAlign w:val="center"/>
          </w:tcPr>
          <w:p>
            <w:pPr>
              <w:spacing w:after="0" w:line="240" w:lineRule="auto"/>
              <w:ind w:right="48"/>
              <w:jc w:val="center"/>
            </w:pPr>
            <w:r>
              <w:rPr>
                <w:rFonts w:ascii="Times New Roman" w:hAnsi="Times New Roman" w:eastAsia="华文仿宋" w:cs="Times New Roman"/>
                <w:sz w:val="26"/>
                <w:szCs w:val="26"/>
              </w:rPr>
              <w:t>2</w:t>
            </w:r>
          </w:p>
        </w:tc>
        <w:tc>
          <w:tcPr>
            <w:tcW w:w="1577" w:type="dxa"/>
            <w:vAlign w:val="center"/>
          </w:tcPr>
          <w:p>
            <w:pPr>
              <w:spacing w:after="0" w:line="240" w:lineRule="auto"/>
              <w:ind w:right="49"/>
              <w:jc w:val="center"/>
            </w:pPr>
            <w:r>
              <w:rPr>
                <w:rFonts w:ascii="Times New Roman" w:hAnsi="Times New Roman" w:eastAsia="华文仿宋" w:cs="Times New Roman"/>
                <w:sz w:val="26"/>
                <w:szCs w:val="26"/>
              </w:rPr>
              <w:t>2016-10-09</w:t>
            </w:r>
          </w:p>
        </w:tc>
        <w:tc>
          <w:tcPr>
            <w:tcW w:w="2168" w:type="dxa"/>
            <w:vAlign w:val="center"/>
          </w:tcPr>
          <w:p>
            <w:pPr>
              <w:spacing w:after="0" w:line="240" w:lineRule="auto"/>
              <w:ind w:right="48"/>
              <w:jc w:val="center"/>
            </w:pPr>
            <w:r>
              <w:rPr>
                <w:rFonts w:ascii="Times New Roman" w:hAnsi="Times New Roman" w:eastAsia="华文仿宋" w:cs="Times New Roman"/>
                <w:sz w:val="26"/>
                <w:szCs w:val="26"/>
              </w:rPr>
              <w:t>42000.00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525" w:hRule="atLeast"/>
          <w:jc w:val="center"/>
        </w:trPr>
        <w:tc>
          <w:tcPr>
            <w:tcW w:w="2455" w:type="dxa"/>
            <w:vAlign w:val="center"/>
          </w:tcPr>
          <w:p>
            <w:pPr>
              <w:jc w:val="center"/>
              <w:textAlignment w:val="center"/>
              <w:rPr>
                <w:rFonts w:ascii="Times New Roman" w:hAnsi="Times New Roman" w:eastAsia="仿宋" w:cs="Times New Roman"/>
              </w:rPr>
            </w:pPr>
            <w:r>
              <w:rPr>
                <w:rFonts w:ascii="Times New Roman" w:hAnsi="Times New Roman" w:eastAsia="仿宋" w:cs="Times New Roman"/>
                <w:sz w:val="26"/>
                <w:szCs w:val="26"/>
                <w:lang w:bidi="ar"/>
              </w:rPr>
              <w:t>低温-80℃保存箱</w:t>
            </w:r>
          </w:p>
        </w:tc>
        <w:tc>
          <w:tcPr>
            <w:tcW w:w="1995" w:type="dxa"/>
            <w:vAlign w:val="center"/>
          </w:tcPr>
          <w:p>
            <w:pPr>
              <w:jc w:val="center"/>
              <w:textAlignment w:val="center"/>
            </w:pPr>
            <w:r>
              <w:rPr>
                <w:rFonts w:ascii="Times New Roman" w:hAnsi="Times New Roman" w:eastAsia="华文仿宋" w:cs="Times New Roman"/>
                <w:sz w:val="26"/>
                <w:szCs w:val="26"/>
                <w:lang w:bidi="ar"/>
              </w:rPr>
              <w:t>Forma 902,Forma 902</w:t>
            </w:r>
          </w:p>
        </w:tc>
        <w:tc>
          <w:tcPr>
            <w:tcW w:w="1378" w:type="dxa"/>
            <w:vAlign w:val="center"/>
          </w:tcPr>
          <w:p>
            <w:pPr>
              <w:spacing w:after="0" w:line="240" w:lineRule="auto"/>
              <w:ind w:right="48"/>
              <w:jc w:val="center"/>
            </w:pPr>
            <w:r>
              <w:rPr>
                <w:rFonts w:ascii="Times New Roman" w:hAnsi="Times New Roman" w:eastAsia="华文仿宋" w:cs="Times New Roman"/>
                <w:sz w:val="26"/>
                <w:szCs w:val="26"/>
              </w:rPr>
              <w:t>2</w:t>
            </w:r>
          </w:p>
        </w:tc>
        <w:tc>
          <w:tcPr>
            <w:tcW w:w="1577" w:type="dxa"/>
            <w:vAlign w:val="center"/>
          </w:tcPr>
          <w:p>
            <w:pPr>
              <w:spacing w:after="0" w:line="240" w:lineRule="auto"/>
              <w:ind w:right="49"/>
              <w:jc w:val="center"/>
            </w:pPr>
            <w:r>
              <w:rPr>
                <w:rFonts w:ascii="Times New Roman" w:hAnsi="Times New Roman" w:eastAsia="华文仿宋" w:cs="Times New Roman"/>
                <w:sz w:val="26"/>
                <w:szCs w:val="26"/>
              </w:rPr>
              <w:t>2017-09-08</w:t>
            </w:r>
          </w:p>
        </w:tc>
        <w:tc>
          <w:tcPr>
            <w:tcW w:w="2168" w:type="dxa"/>
            <w:vAlign w:val="center"/>
          </w:tcPr>
          <w:p>
            <w:pPr>
              <w:spacing w:after="0" w:line="240" w:lineRule="auto"/>
              <w:ind w:right="48"/>
              <w:jc w:val="center"/>
            </w:pPr>
            <w:r>
              <w:rPr>
                <w:rFonts w:ascii="Times New Roman" w:hAnsi="Times New Roman" w:eastAsia="华文仿宋" w:cs="Times New Roman"/>
                <w:sz w:val="26"/>
                <w:szCs w:val="26"/>
              </w:rPr>
              <w:t>53600.00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rPr>
            </w:pPr>
            <w:r>
              <w:rPr>
                <w:rFonts w:ascii="Times New Roman" w:hAnsi="Times New Roman" w:eastAsia="仿宋" w:cs="Times New Roman"/>
                <w:sz w:val="26"/>
                <w:szCs w:val="26"/>
                <w:lang w:bidi="ar"/>
              </w:rPr>
              <w:t>8道移液器</w:t>
            </w:r>
          </w:p>
        </w:tc>
        <w:tc>
          <w:tcPr>
            <w:tcW w:w="1995" w:type="dxa"/>
            <w:vAlign w:val="center"/>
          </w:tcPr>
          <w:p>
            <w:pPr>
              <w:jc w:val="center"/>
              <w:textAlignment w:val="center"/>
            </w:pPr>
            <w:r>
              <w:rPr>
                <w:rFonts w:ascii="Times New Roman" w:hAnsi="Times New Roman" w:eastAsia="华文仿宋" w:cs="Times New Roman"/>
                <w:sz w:val="26"/>
                <w:szCs w:val="26"/>
                <w:lang w:bidi="ar"/>
              </w:rPr>
              <w:t>Pipetman N</w:t>
            </w:r>
          </w:p>
        </w:tc>
        <w:tc>
          <w:tcPr>
            <w:tcW w:w="1378" w:type="dxa"/>
            <w:vAlign w:val="center"/>
          </w:tcPr>
          <w:p>
            <w:pPr>
              <w:spacing w:after="0" w:line="240" w:lineRule="auto"/>
              <w:ind w:right="48"/>
              <w:jc w:val="center"/>
            </w:pPr>
            <w:r>
              <w:rPr>
                <w:rFonts w:ascii="Times New Roman" w:hAnsi="Times New Roman" w:eastAsia="华文仿宋" w:cs="Times New Roman"/>
                <w:sz w:val="26"/>
                <w:szCs w:val="26"/>
              </w:rPr>
              <w:t>3</w:t>
            </w:r>
          </w:p>
        </w:tc>
        <w:tc>
          <w:tcPr>
            <w:tcW w:w="1577" w:type="dxa"/>
            <w:vAlign w:val="center"/>
          </w:tcPr>
          <w:p>
            <w:pPr>
              <w:spacing w:after="0" w:line="240" w:lineRule="auto"/>
              <w:ind w:right="49"/>
              <w:jc w:val="center"/>
            </w:pPr>
            <w:r>
              <w:rPr>
                <w:rFonts w:ascii="Times New Roman" w:hAnsi="Times New Roman" w:eastAsia="华文仿宋" w:cs="Times New Roman"/>
                <w:sz w:val="26"/>
                <w:szCs w:val="26"/>
              </w:rPr>
              <w:t>2017-08-08</w:t>
            </w:r>
          </w:p>
        </w:tc>
        <w:tc>
          <w:tcPr>
            <w:tcW w:w="2168" w:type="dxa"/>
            <w:vAlign w:val="center"/>
          </w:tcPr>
          <w:p>
            <w:pPr>
              <w:spacing w:after="0" w:line="240" w:lineRule="auto"/>
              <w:ind w:right="48"/>
              <w:jc w:val="center"/>
            </w:pPr>
            <w:r>
              <w:rPr>
                <w:rFonts w:ascii="Times New Roman" w:hAnsi="Times New Roman" w:eastAsia="华文仿宋" w:cs="Times New Roman"/>
                <w:sz w:val="26"/>
                <w:szCs w:val="26"/>
              </w:rPr>
              <w:t>6800.00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spacing w:after="0" w:line="240" w:lineRule="auto"/>
              <w:ind w:right="48"/>
              <w:jc w:val="center"/>
              <w:rPr>
                <w:rFonts w:ascii="Times New Roman" w:hAnsi="Times New Roman" w:eastAsia="仿宋" w:cs="Times New Roman"/>
              </w:rPr>
            </w:pPr>
            <w:r>
              <w:rPr>
                <w:rFonts w:ascii="Times New Roman" w:hAnsi="Times New Roman" w:eastAsia="仿宋" w:cs="Times New Roman"/>
                <w:sz w:val="26"/>
                <w:szCs w:val="26"/>
              </w:rPr>
              <w:t>电动移液器</w:t>
            </w:r>
          </w:p>
        </w:tc>
        <w:tc>
          <w:tcPr>
            <w:tcW w:w="1995" w:type="dxa"/>
            <w:vAlign w:val="center"/>
          </w:tcPr>
          <w:p>
            <w:pPr>
              <w:spacing w:after="0" w:line="240" w:lineRule="auto"/>
              <w:ind w:right="47"/>
              <w:jc w:val="center"/>
            </w:pPr>
            <w:r>
              <w:rPr>
                <w:rFonts w:ascii="Times New Roman" w:hAnsi="Times New Roman" w:eastAsia="华文仿宋" w:cs="Times New Roman"/>
                <w:sz w:val="26"/>
                <w:szCs w:val="26"/>
              </w:rPr>
              <w:t>S1</w:t>
            </w:r>
          </w:p>
        </w:tc>
        <w:tc>
          <w:tcPr>
            <w:tcW w:w="1378" w:type="dxa"/>
            <w:vAlign w:val="center"/>
          </w:tcPr>
          <w:p>
            <w:pPr>
              <w:spacing w:after="0" w:line="240" w:lineRule="auto"/>
              <w:ind w:right="48"/>
              <w:jc w:val="center"/>
            </w:pPr>
            <w:r>
              <w:rPr>
                <w:rFonts w:ascii="Times New Roman" w:hAnsi="Times New Roman" w:eastAsia="华文仿宋" w:cs="Times New Roman"/>
                <w:sz w:val="26"/>
                <w:szCs w:val="26"/>
              </w:rPr>
              <w:t>5</w:t>
            </w:r>
          </w:p>
        </w:tc>
        <w:tc>
          <w:tcPr>
            <w:tcW w:w="1577" w:type="dxa"/>
            <w:vAlign w:val="center"/>
          </w:tcPr>
          <w:p>
            <w:pPr>
              <w:spacing w:after="0" w:line="240" w:lineRule="auto"/>
              <w:ind w:right="49"/>
              <w:jc w:val="center"/>
            </w:pPr>
            <w:r>
              <w:rPr>
                <w:rFonts w:ascii="Times New Roman" w:hAnsi="Times New Roman" w:eastAsia="华文仿宋" w:cs="Times New Roman"/>
                <w:sz w:val="26"/>
                <w:szCs w:val="26"/>
              </w:rPr>
              <w:t>2017-08-08</w:t>
            </w:r>
          </w:p>
        </w:tc>
        <w:tc>
          <w:tcPr>
            <w:tcW w:w="2168" w:type="dxa"/>
            <w:vAlign w:val="center"/>
          </w:tcPr>
          <w:p>
            <w:pPr>
              <w:spacing w:after="0" w:line="240" w:lineRule="auto"/>
              <w:ind w:right="48"/>
              <w:jc w:val="center"/>
            </w:pPr>
            <w:r>
              <w:rPr>
                <w:rFonts w:ascii="Times New Roman" w:hAnsi="Times New Roman" w:eastAsia="华文仿宋" w:cs="Times New Roman"/>
                <w:sz w:val="26"/>
                <w:szCs w:val="26"/>
              </w:rPr>
              <w:t>3900.00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rPr>
            </w:pPr>
            <w:r>
              <w:rPr>
                <w:rFonts w:ascii="Times New Roman" w:hAnsi="Times New Roman" w:eastAsia="仿宋" w:cs="Times New Roman"/>
                <w:sz w:val="26"/>
                <w:szCs w:val="26"/>
                <w:lang w:bidi="ar"/>
              </w:rPr>
              <w:t>PCR 仪</w:t>
            </w:r>
          </w:p>
        </w:tc>
        <w:tc>
          <w:tcPr>
            <w:tcW w:w="1995" w:type="dxa"/>
            <w:vAlign w:val="center"/>
          </w:tcPr>
          <w:p>
            <w:pPr>
              <w:jc w:val="center"/>
              <w:textAlignment w:val="center"/>
            </w:pPr>
            <w:r>
              <w:rPr>
                <w:rFonts w:ascii="Times New Roman" w:hAnsi="Times New Roman" w:eastAsia="华文仿宋" w:cs="Times New Roman"/>
                <w:sz w:val="26"/>
                <w:szCs w:val="26"/>
                <w:lang w:bidi="ar"/>
              </w:rPr>
              <w:t>ProFlex</w:t>
            </w:r>
          </w:p>
        </w:tc>
        <w:tc>
          <w:tcPr>
            <w:tcW w:w="1378" w:type="dxa"/>
            <w:vAlign w:val="center"/>
          </w:tcPr>
          <w:p>
            <w:pPr>
              <w:spacing w:after="0" w:line="240" w:lineRule="auto"/>
              <w:ind w:right="48"/>
              <w:jc w:val="center"/>
            </w:pPr>
            <w:r>
              <w:rPr>
                <w:rFonts w:ascii="Times New Roman" w:hAnsi="Times New Roman" w:eastAsia="华文仿宋" w:cs="Times New Roman"/>
                <w:sz w:val="26"/>
                <w:szCs w:val="26"/>
              </w:rPr>
              <w:t>2</w:t>
            </w:r>
          </w:p>
        </w:tc>
        <w:tc>
          <w:tcPr>
            <w:tcW w:w="1577" w:type="dxa"/>
            <w:vAlign w:val="center"/>
          </w:tcPr>
          <w:p>
            <w:pPr>
              <w:jc w:val="center"/>
              <w:textAlignment w:val="cente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pPr>
            <w:r>
              <w:rPr>
                <w:rFonts w:ascii="Times New Roman" w:hAnsi="Times New Roman" w:eastAsia="华文仿宋" w:cs="Times New Roman"/>
                <w:sz w:val="26"/>
                <w:szCs w:val="26"/>
                <w:lang w:bidi="ar"/>
              </w:rPr>
              <w:t>70000.00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rPr>
            </w:pPr>
            <w:r>
              <w:rPr>
                <w:rFonts w:ascii="Times New Roman" w:hAnsi="Times New Roman" w:eastAsia="仿宋" w:cs="Times New Roman"/>
                <w:sz w:val="26"/>
                <w:szCs w:val="26"/>
                <w:lang w:bidi="ar"/>
              </w:rPr>
              <w:t>PCR仪</w:t>
            </w:r>
          </w:p>
        </w:tc>
        <w:tc>
          <w:tcPr>
            <w:tcW w:w="1995" w:type="dxa"/>
            <w:vAlign w:val="center"/>
          </w:tcPr>
          <w:p>
            <w:pPr>
              <w:jc w:val="center"/>
              <w:textAlignment w:val="center"/>
            </w:pPr>
            <w:r>
              <w:rPr>
                <w:rFonts w:ascii="Times New Roman" w:hAnsi="Times New Roman" w:eastAsia="华文仿宋" w:cs="Times New Roman"/>
                <w:sz w:val="26"/>
                <w:szCs w:val="26"/>
                <w:lang w:bidi="ar"/>
              </w:rPr>
              <w:t>A100</w:t>
            </w:r>
          </w:p>
        </w:tc>
        <w:tc>
          <w:tcPr>
            <w:tcW w:w="1378" w:type="dxa"/>
            <w:vAlign w:val="center"/>
          </w:tcPr>
          <w:p>
            <w:pPr>
              <w:spacing w:after="0" w:line="240" w:lineRule="auto"/>
              <w:ind w:right="48"/>
              <w:jc w:val="center"/>
            </w:pPr>
            <w:r>
              <w:rPr>
                <w:rFonts w:ascii="Times New Roman" w:hAnsi="Times New Roman" w:eastAsia="华文仿宋" w:cs="Times New Roman"/>
                <w:sz w:val="26"/>
                <w:szCs w:val="26"/>
              </w:rPr>
              <w:t>4</w:t>
            </w:r>
          </w:p>
        </w:tc>
        <w:tc>
          <w:tcPr>
            <w:tcW w:w="1577" w:type="dxa"/>
            <w:vAlign w:val="center"/>
          </w:tcPr>
          <w:p>
            <w:pPr>
              <w:jc w:val="center"/>
              <w:textAlignment w:val="cente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pPr>
            <w:r>
              <w:rPr>
                <w:rFonts w:ascii="Times New Roman" w:hAnsi="Times New Roman" w:eastAsia="华文仿宋" w:cs="Times New Roman"/>
                <w:sz w:val="26"/>
                <w:szCs w:val="26"/>
                <w:lang w:bidi="ar"/>
              </w:rPr>
              <w:t>24000.00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rPr>
            </w:pPr>
            <w:r>
              <w:rPr>
                <w:rFonts w:ascii="Times New Roman" w:hAnsi="Times New Roman" w:eastAsia="仿宋" w:cs="Times New Roman"/>
                <w:sz w:val="26"/>
                <w:szCs w:val="26"/>
                <w:lang w:bidi="ar"/>
              </w:rPr>
              <w:t>PH 计</w:t>
            </w:r>
          </w:p>
        </w:tc>
        <w:tc>
          <w:tcPr>
            <w:tcW w:w="1995" w:type="dxa"/>
            <w:vAlign w:val="center"/>
          </w:tcPr>
          <w:p>
            <w:pPr>
              <w:jc w:val="center"/>
              <w:textAlignment w:val="center"/>
            </w:pPr>
            <w:r>
              <w:rPr>
                <w:rFonts w:ascii="Times New Roman" w:hAnsi="Times New Roman" w:eastAsia="华文仿宋" w:cs="Times New Roman"/>
                <w:sz w:val="26"/>
                <w:szCs w:val="26"/>
                <w:lang w:bidi="ar"/>
              </w:rPr>
              <w:t>FE28 stand</w:t>
            </w:r>
          </w:p>
        </w:tc>
        <w:tc>
          <w:tcPr>
            <w:tcW w:w="1378" w:type="dxa"/>
            <w:vAlign w:val="center"/>
          </w:tcPr>
          <w:p>
            <w:pPr>
              <w:spacing w:after="0" w:line="240" w:lineRule="auto"/>
              <w:ind w:right="48"/>
              <w:jc w:val="center"/>
            </w:pPr>
            <w:r>
              <w:rPr>
                <w:rFonts w:ascii="Times New Roman" w:hAnsi="Times New Roman" w:eastAsia="华文仿宋" w:cs="Times New Roman"/>
                <w:sz w:val="26"/>
                <w:szCs w:val="26"/>
              </w:rPr>
              <w:t>3</w:t>
            </w:r>
          </w:p>
        </w:tc>
        <w:tc>
          <w:tcPr>
            <w:tcW w:w="1577" w:type="dxa"/>
            <w:vAlign w:val="center"/>
          </w:tcPr>
          <w:p>
            <w:pPr>
              <w:jc w:val="center"/>
              <w:textAlignment w:val="center"/>
            </w:pPr>
            <w:r>
              <w:rPr>
                <w:rFonts w:ascii="Times New Roman" w:hAnsi="Times New Roman" w:eastAsia="华文仿宋" w:cs="Times New Roman"/>
                <w:sz w:val="26"/>
                <w:szCs w:val="26"/>
                <w:lang w:bidi="ar"/>
              </w:rPr>
              <w:t>2016-10-09</w:t>
            </w:r>
          </w:p>
        </w:tc>
        <w:tc>
          <w:tcPr>
            <w:tcW w:w="2168" w:type="dxa"/>
            <w:vAlign w:val="center"/>
          </w:tcPr>
          <w:p>
            <w:pPr>
              <w:spacing w:after="0" w:line="240" w:lineRule="auto"/>
              <w:ind w:right="48"/>
              <w:jc w:val="center"/>
            </w:pPr>
            <w:r>
              <w:rPr>
                <w:rFonts w:ascii="Times New Roman" w:hAnsi="Times New Roman" w:eastAsia="华文仿宋" w:cs="Times New Roman"/>
                <w:sz w:val="26"/>
                <w:szCs w:val="26"/>
              </w:rPr>
              <w:t>2500.00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80" w:hRule="atLeast"/>
          <w:jc w:val="center"/>
        </w:trPr>
        <w:tc>
          <w:tcPr>
            <w:tcW w:w="2455" w:type="dxa"/>
            <w:vAlign w:val="center"/>
          </w:tcPr>
          <w:p>
            <w:pPr>
              <w:jc w:val="center"/>
              <w:textAlignment w:val="center"/>
              <w:rPr>
                <w:rFonts w:ascii="Times New Roman" w:hAnsi="Times New Roman" w:eastAsia="仿宋" w:cs="Times New Roman"/>
              </w:rPr>
            </w:pPr>
            <w:r>
              <w:rPr>
                <w:rFonts w:ascii="Times New Roman" w:hAnsi="Times New Roman" w:eastAsia="仿宋" w:cs="Times New Roman"/>
                <w:sz w:val="26"/>
                <w:szCs w:val="26"/>
                <w:lang w:bidi="ar"/>
              </w:rPr>
              <w:t>PH 计</w:t>
            </w:r>
          </w:p>
        </w:tc>
        <w:tc>
          <w:tcPr>
            <w:tcW w:w="1995" w:type="dxa"/>
            <w:vAlign w:val="center"/>
          </w:tcPr>
          <w:p>
            <w:pPr>
              <w:jc w:val="center"/>
              <w:textAlignment w:val="center"/>
            </w:pPr>
            <w:r>
              <w:rPr>
                <w:rFonts w:ascii="Times New Roman" w:hAnsi="Times New Roman" w:eastAsia="华文仿宋" w:cs="Times New Roman"/>
                <w:sz w:val="26"/>
                <w:szCs w:val="26"/>
                <w:lang w:bidi="ar"/>
              </w:rPr>
              <w:t>FE22 stand</w:t>
            </w:r>
          </w:p>
        </w:tc>
        <w:tc>
          <w:tcPr>
            <w:tcW w:w="1378" w:type="dxa"/>
            <w:vAlign w:val="center"/>
          </w:tcPr>
          <w:p>
            <w:pPr>
              <w:spacing w:after="0" w:line="240" w:lineRule="auto"/>
              <w:ind w:right="48"/>
              <w:jc w:val="center"/>
            </w:pPr>
            <w:r>
              <w:rPr>
                <w:rFonts w:ascii="Times New Roman" w:hAnsi="Times New Roman" w:eastAsia="华文仿宋" w:cs="Times New Roman"/>
                <w:sz w:val="26"/>
                <w:szCs w:val="26"/>
              </w:rPr>
              <w:t>9</w:t>
            </w:r>
          </w:p>
        </w:tc>
        <w:tc>
          <w:tcPr>
            <w:tcW w:w="1577" w:type="dxa"/>
            <w:vAlign w:val="center"/>
          </w:tcPr>
          <w:p>
            <w:pPr>
              <w:jc w:val="center"/>
              <w:textAlignment w:val="center"/>
            </w:pPr>
            <w:r>
              <w:rPr>
                <w:rFonts w:ascii="Times New Roman" w:hAnsi="Times New Roman" w:eastAsia="华文仿宋" w:cs="Times New Roman"/>
                <w:sz w:val="26"/>
                <w:szCs w:val="26"/>
                <w:lang w:bidi="ar"/>
              </w:rPr>
              <w:t>2016-08-08</w:t>
            </w:r>
          </w:p>
        </w:tc>
        <w:tc>
          <w:tcPr>
            <w:tcW w:w="2168" w:type="dxa"/>
            <w:vAlign w:val="center"/>
          </w:tcPr>
          <w:p>
            <w:pPr>
              <w:spacing w:after="0" w:line="240" w:lineRule="auto"/>
              <w:ind w:right="48"/>
              <w:jc w:val="center"/>
            </w:pPr>
            <w:r>
              <w:rPr>
                <w:rFonts w:ascii="Times New Roman" w:hAnsi="Times New Roman" w:eastAsia="华文仿宋" w:cs="Times New Roman"/>
                <w:sz w:val="26"/>
                <w:szCs w:val="26"/>
              </w:rPr>
              <w:t>2900.00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rPr>
            </w:pPr>
            <w:r>
              <w:rPr>
                <w:rFonts w:ascii="Times New Roman" w:hAnsi="Times New Roman" w:eastAsia="仿宋" w:cs="Times New Roman"/>
                <w:sz w:val="26"/>
                <w:szCs w:val="26"/>
                <w:lang w:bidi="ar"/>
              </w:rPr>
              <w:t>冰箱</w:t>
            </w:r>
          </w:p>
        </w:tc>
        <w:tc>
          <w:tcPr>
            <w:tcW w:w="1995" w:type="dxa"/>
            <w:vAlign w:val="center"/>
          </w:tcPr>
          <w:p>
            <w:pPr>
              <w:jc w:val="center"/>
              <w:textAlignment w:val="center"/>
            </w:pPr>
            <w:r>
              <w:rPr>
                <w:rFonts w:ascii="Times New Roman" w:hAnsi="Times New Roman" w:eastAsia="华文仿宋" w:cs="Times New Roman"/>
                <w:sz w:val="26"/>
                <w:szCs w:val="26"/>
                <w:lang w:bidi="ar"/>
              </w:rPr>
              <w:t>BCD-192</w:t>
            </w:r>
          </w:p>
        </w:tc>
        <w:tc>
          <w:tcPr>
            <w:tcW w:w="1378" w:type="dxa"/>
            <w:vAlign w:val="center"/>
          </w:tcPr>
          <w:p>
            <w:pPr>
              <w:jc w:val="center"/>
              <w:textAlignment w:val="center"/>
            </w:pPr>
            <w:r>
              <w:rPr>
                <w:rFonts w:ascii="Times New Roman" w:hAnsi="Times New Roman" w:eastAsia="华文仿宋" w:cs="Times New Roman"/>
                <w:sz w:val="26"/>
                <w:szCs w:val="26"/>
                <w:lang w:bidi="ar"/>
              </w:rPr>
              <w:t>3</w:t>
            </w:r>
          </w:p>
        </w:tc>
        <w:tc>
          <w:tcPr>
            <w:tcW w:w="1577" w:type="dxa"/>
            <w:vAlign w:val="center"/>
          </w:tcPr>
          <w:p>
            <w:pPr>
              <w:jc w:val="center"/>
              <w:textAlignment w:val="cente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pPr>
            <w:r>
              <w:rPr>
                <w:rFonts w:ascii="Times New Roman" w:hAnsi="Times New Roman" w:eastAsia="华文仿宋" w:cs="Times New Roman"/>
                <w:sz w:val="26"/>
                <w:szCs w:val="26"/>
                <w:lang w:bidi="ar"/>
              </w:rPr>
              <w:t>2,500.00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rPr>
            </w:pPr>
            <w:r>
              <w:rPr>
                <w:rFonts w:ascii="Times New Roman" w:hAnsi="Times New Roman" w:eastAsia="仿宋" w:cs="Times New Roman"/>
                <w:sz w:val="26"/>
                <w:szCs w:val="26"/>
                <w:lang w:bidi="ar"/>
              </w:rPr>
              <w:t>冰箱</w:t>
            </w:r>
          </w:p>
        </w:tc>
        <w:tc>
          <w:tcPr>
            <w:tcW w:w="1995" w:type="dxa"/>
            <w:vAlign w:val="center"/>
          </w:tcPr>
          <w:p>
            <w:pPr>
              <w:jc w:val="center"/>
              <w:textAlignment w:val="center"/>
            </w:pPr>
            <w:r>
              <w:rPr>
                <w:rFonts w:ascii="Times New Roman" w:hAnsi="Times New Roman" w:eastAsia="华文仿宋" w:cs="Times New Roman"/>
                <w:sz w:val="26"/>
                <w:szCs w:val="26"/>
                <w:lang w:bidi="ar"/>
              </w:rPr>
              <w:t>BCD-610W(K</w:t>
            </w:r>
          </w:p>
        </w:tc>
        <w:tc>
          <w:tcPr>
            <w:tcW w:w="1378" w:type="dxa"/>
            <w:vAlign w:val="center"/>
          </w:tcPr>
          <w:p>
            <w:pPr>
              <w:jc w:val="center"/>
              <w:textAlignment w:val="center"/>
            </w:pPr>
            <w:r>
              <w:rPr>
                <w:rFonts w:ascii="Times New Roman" w:hAnsi="Times New Roman" w:eastAsia="华文仿宋" w:cs="Times New Roman"/>
                <w:sz w:val="26"/>
                <w:szCs w:val="26"/>
                <w:lang w:bidi="ar"/>
              </w:rPr>
              <w:t>4</w:t>
            </w:r>
          </w:p>
        </w:tc>
        <w:tc>
          <w:tcPr>
            <w:tcW w:w="1577" w:type="dxa"/>
            <w:vAlign w:val="center"/>
          </w:tcPr>
          <w:p>
            <w:pPr>
              <w:jc w:val="center"/>
              <w:textAlignment w:val="cente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pPr>
            <w:r>
              <w:rPr>
                <w:rFonts w:ascii="Times New Roman" w:hAnsi="Times New Roman" w:eastAsia="华文仿宋" w:cs="Times New Roman"/>
                <w:sz w:val="26"/>
                <w:szCs w:val="26"/>
                <w:lang w:bidi="ar"/>
              </w:rPr>
              <w:t>6,300.00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rPr>
            </w:pPr>
            <w:r>
              <w:rPr>
                <w:rFonts w:ascii="Times New Roman" w:hAnsi="Times New Roman" w:eastAsia="仿宋" w:cs="Times New Roman"/>
                <w:sz w:val="26"/>
                <w:szCs w:val="26"/>
                <w:lang w:bidi="ar"/>
              </w:rPr>
              <w:t>A2 生物安全柜</w:t>
            </w:r>
          </w:p>
        </w:tc>
        <w:tc>
          <w:tcPr>
            <w:tcW w:w="1995" w:type="dxa"/>
            <w:vAlign w:val="center"/>
          </w:tcPr>
          <w:p>
            <w:pPr>
              <w:jc w:val="center"/>
              <w:textAlignment w:val="center"/>
            </w:pPr>
            <w:r>
              <w:rPr>
                <w:rFonts w:ascii="Times New Roman" w:hAnsi="Times New Roman" w:eastAsia="华文仿宋" w:cs="Times New Roman"/>
                <w:sz w:val="26"/>
                <w:szCs w:val="26"/>
                <w:lang w:bidi="ar"/>
              </w:rPr>
              <w:t>Forma 1384</w:t>
            </w:r>
          </w:p>
        </w:tc>
        <w:tc>
          <w:tcPr>
            <w:tcW w:w="1378" w:type="dxa"/>
            <w:vAlign w:val="center"/>
          </w:tcPr>
          <w:p>
            <w:pPr>
              <w:jc w:val="center"/>
              <w:textAlignment w:val="center"/>
            </w:pPr>
            <w:r>
              <w:rPr>
                <w:rFonts w:ascii="Times New Roman" w:hAnsi="Times New Roman" w:eastAsia="华文仿宋" w:cs="Times New Roman"/>
                <w:sz w:val="26"/>
                <w:szCs w:val="26"/>
                <w:lang w:bidi="ar"/>
              </w:rPr>
              <w:t>1</w:t>
            </w:r>
          </w:p>
        </w:tc>
        <w:tc>
          <w:tcPr>
            <w:tcW w:w="1577" w:type="dxa"/>
            <w:vAlign w:val="center"/>
          </w:tcPr>
          <w:p>
            <w:pPr>
              <w:jc w:val="center"/>
              <w:textAlignment w:val="cente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pPr>
            <w:r>
              <w:rPr>
                <w:rFonts w:ascii="Times New Roman" w:hAnsi="Times New Roman" w:eastAsia="华文仿宋" w:cs="Times New Roman"/>
                <w:sz w:val="26"/>
                <w:szCs w:val="26"/>
                <w:lang w:bidi="ar"/>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rPr>
            </w:pPr>
            <w:r>
              <w:rPr>
                <w:rFonts w:ascii="Times New Roman" w:hAnsi="Times New Roman" w:eastAsia="仿宋" w:cs="Times New Roman"/>
                <w:sz w:val="26"/>
                <w:szCs w:val="26"/>
                <w:lang w:bidi="ar"/>
              </w:rPr>
              <w:t>A2生物安全柜</w:t>
            </w:r>
          </w:p>
        </w:tc>
        <w:tc>
          <w:tcPr>
            <w:tcW w:w="1995" w:type="dxa"/>
            <w:vAlign w:val="center"/>
          </w:tcPr>
          <w:p>
            <w:pPr>
              <w:jc w:val="center"/>
              <w:textAlignment w:val="center"/>
            </w:pPr>
            <w:r>
              <w:rPr>
                <w:rFonts w:ascii="Times New Roman" w:hAnsi="Times New Roman" w:eastAsia="华文仿宋" w:cs="Times New Roman"/>
                <w:sz w:val="26"/>
                <w:szCs w:val="26"/>
                <w:lang w:bidi="ar"/>
              </w:rPr>
              <w:t>1384</w:t>
            </w:r>
          </w:p>
        </w:tc>
        <w:tc>
          <w:tcPr>
            <w:tcW w:w="1378" w:type="dxa"/>
            <w:vAlign w:val="center"/>
          </w:tcPr>
          <w:p>
            <w:pPr>
              <w:jc w:val="center"/>
              <w:textAlignment w:val="center"/>
            </w:pPr>
            <w:r>
              <w:rPr>
                <w:rFonts w:ascii="Times New Roman" w:hAnsi="Times New Roman" w:eastAsia="华文仿宋" w:cs="Times New Roman"/>
                <w:sz w:val="26"/>
                <w:szCs w:val="26"/>
                <w:lang w:bidi="ar"/>
              </w:rPr>
              <w:t>1</w:t>
            </w:r>
          </w:p>
        </w:tc>
        <w:tc>
          <w:tcPr>
            <w:tcW w:w="1577" w:type="dxa"/>
            <w:vAlign w:val="center"/>
          </w:tcPr>
          <w:p>
            <w:pPr>
              <w:jc w:val="center"/>
              <w:textAlignment w:val="cente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pPr>
            <w:r>
              <w:rPr>
                <w:rFonts w:ascii="Times New Roman" w:hAnsi="Times New Roman" w:eastAsia="华文仿宋" w:cs="Times New Roman"/>
                <w:sz w:val="26"/>
                <w:szCs w:val="26"/>
                <w:lang w:bidi="ar"/>
              </w:rPr>
              <w:t>52,000.00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A2生物安全柜</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1384</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52,000.00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超净工作台</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ZHJH-C1112</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5</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抽滤瓶</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DS4101-200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6</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纯水系统</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FST-JY-100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98,000.00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纯水系统</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Genpure PR</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68,000.00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涡轮混合器</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VORTEX-5</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18</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spacing w:after="0" w:line="240" w:lineRule="auto"/>
              <w:ind w:right="48"/>
              <w:jc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小型掌上离心机</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LX-300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8</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tabs>
                <w:tab w:val="left" w:pos="258"/>
              </w:tabs>
              <w:spacing w:after="0" w:line="240" w:lineRule="auto"/>
              <w:ind w:right="48" w:firstLine="520" w:firstLineChars="200"/>
              <w:jc w:val="both"/>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台式离心机</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TG16B</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6</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台式离心机</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Micro 17</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3</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小型高速冷冻离心机</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Micro 17R</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5</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高速离心机</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LYNX4000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245,000.00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分析天平</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EL104</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3</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7,500.00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恒温鼓风干燥箱1</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ZXFD-A5250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3</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10,800.00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恒温鼓风干燥箱2</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ZXFD-B5040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5,200.00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大容积干燥箱</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DHG-9140A</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6,500.00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小容积干燥箱</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DHG-9030A</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6</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3,700.00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高压灭菌锅</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BXM-30R</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高压灭菌锅</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GI54DWS,GI54DWS</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蛋白转印系统</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mini prote</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14</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蛋白转印系统（半干转）</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22830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水平电泳槽</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DYCP-31DN</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18</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电泳用电源</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DYY-6C</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3</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90"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电泳电源</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DYY-6C,DYY-6C</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3</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三用恒温水箱</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DK-500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6</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1,650.00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大容积液氮罐</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YDS-50B-12</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9,800.00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小容积液氮罐</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YDS-15</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摇床</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TS-1000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6</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台式空气摇床</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MaxQ 420HP</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恒温培养振荡器</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ZWY-211B</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23,500.00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细菌用摇床</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ZWY-111C</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细胞培养箱</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Forma-3111</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4</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超微量分光光度计</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SimpliNano</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72,500.00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超声波清洗器</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SB25-12DTS</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6,500.00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超灵敏多功能成像仪</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AI600,AI600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256,000.00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555" w:hRule="atLeast"/>
          <w:jc w:val="center"/>
        </w:trPr>
        <w:tc>
          <w:tcPr>
            <w:tcW w:w="2455" w:type="dxa"/>
            <w:vAlign w:val="center"/>
          </w:tcPr>
          <w:p>
            <w:pPr>
              <w:spacing w:line="240" w:lineRule="exact"/>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一体式化学发光成像系统</w:t>
            </w:r>
          </w:p>
        </w:tc>
        <w:tc>
          <w:tcPr>
            <w:tcW w:w="1995" w:type="dxa"/>
            <w:vAlign w:val="center"/>
          </w:tcPr>
          <w:p>
            <w:pPr>
              <w:ind w:firstLine="231"/>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CHemiScope6000 Touch</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2018-11-27</w:t>
            </w:r>
          </w:p>
        </w:tc>
        <w:tc>
          <w:tcPr>
            <w:tcW w:w="2168" w:type="dxa"/>
            <w:vAlign w:val="center"/>
          </w:tcPr>
          <w:p>
            <w:pPr>
              <w:tabs>
                <w:tab w:val="left" w:pos="528"/>
              </w:tabs>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129500.00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超声波细胞破碎仪</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JY92-IIN</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凝胶成像系统</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1880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凝胶成像系统</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GenoSens18</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36,000.00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分光光度计</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UV-5100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3</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二氧化碳钢瓶</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40L</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真空泵</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2XZ2</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3</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自动洗板机</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RT-3900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24,500.00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制冰机</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XB70-FZ</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30,000.00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倒置显微镜</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XD-202</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2</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22,500.00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荧光倒置显微镜</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IX73+DP73</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326,000.00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荧光定量PCR仪</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Stepone pl</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2018-04-12</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237,100.00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荧光定量PCR仪</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Stepone pl</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2018-11-27</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234000.00</w:t>
            </w:r>
          </w:p>
        </w:tc>
      </w:tr>
    </w:tbl>
    <w:p>
      <w:pPr>
        <w:jc w:val="center"/>
        <w:textAlignment w:val="center"/>
        <w:rPr>
          <w:rFonts w:ascii="Times New Roman" w:hAnsi="Times New Roman" w:eastAsia="仿宋" w:cs="Times New Roman"/>
          <w:sz w:val="26"/>
          <w:szCs w:val="26"/>
          <w:lang w:bidi="ar"/>
        </w:rPr>
        <w:sectPr>
          <w:footerReference r:id="rId4" w:type="first"/>
          <w:footerReference r:id="rId3" w:type="default"/>
          <w:pgSz w:w="11906" w:h="16838"/>
          <w:pgMar w:top="720" w:right="720" w:bottom="720" w:left="720" w:header="851" w:footer="567" w:gutter="0"/>
          <w:pgNumType w:start="1"/>
          <w:cols w:space="720" w:num="1"/>
          <w:titlePg/>
          <w:docGrid w:type="lines" w:linePitch="312" w:charSpace="0"/>
        </w:sectPr>
      </w:pPr>
    </w:p>
    <w:tbl>
      <w:tblPr>
        <w:tblStyle w:val="16"/>
        <w:tblW w:w="95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
      <w:tblGrid>
        <w:gridCol w:w="2455"/>
        <w:gridCol w:w="1995"/>
        <w:gridCol w:w="1378"/>
        <w:gridCol w:w="1577"/>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全自动酶标仪（带紫外光检测）</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RT-6500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32,700.00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全波长酶标仪</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Multiskan</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121,000.00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全自动部分收集器</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BSZ-100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分析型流式细胞仪</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Cytoflex</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1</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464,000.00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ind w:firstLine="577"/>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离心机</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TD5Z</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rPr>
              <w:t>5</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2018-11-27</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6900.00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正置显微镜</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BM2000</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130</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2016-10-09</w:t>
            </w:r>
          </w:p>
        </w:tc>
        <w:tc>
          <w:tcPr>
            <w:tcW w:w="216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3,600.00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Ex>
        <w:trPr>
          <w:trHeight w:val="478" w:hRule="atLeast"/>
          <w:jc w:val="center"/>
        </w:trPr>
        <w:tc>
          <w:tcPr>
            <w:tcW w:w="2455" w:type="dxa"/>
            <w:vAlign w:val="center"/>
          </w:tcPr>
          <w:p>
            <w:pPr>
              <w:jc w:val="center"/>
              <w:textAlignment w:val="center"/>
              <w:rPr>
                <w:rFonts w:ascii="Times New Roman" w:hAnsi="Times New Roman" w:eastAsia="仿宋" w:cs="Times New Roman"/>
                <w:sz w:val="26"/>
                <w:szCs w:val="26"/>
                <w:lang w:bidi="ar"/>
              </w:rPr>
            </w:pPr>
            <w:r>
              <w:rPr>
                <w:rFonts w:ascii="Times New Roman" w:hAnsi="Times New Roman" w:eastAsia="仿宋" w:cs="Times New Roman"/>
                <w:sz w:val="26"/>
                <w:szCs w:val="26"/>
                <w:lang w:bidi="ar"/>
              </w:rPr>
              <w:t>移液器</w:t>
            </w:r>
          </w:p>
        </w:tc>
        <w:tc>
          <w:tcPr>
            <w:tcW w:w="1995"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Research p</w:t>
            </w:r>
          </w:p>
        </w:tc>
        <w:tc>
          <w:tcPr>
            <w:tcW w:w="1378"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70</w:t>
            </w:r>
          </w:p>
        </w:tc>
        <w:tc>
          <w:tcPr>
            <w:tcW w:w="1577" w:type="dxa"/>
            <w:vAlign w:val="center"/>
          </w:tcPr>
          <w:p>
            <w:pPr>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2017-08-08</w:t>
            </w:r>
          </w:p>
        </w:tc>
        <w:tc>
          <w:tcPr>
            <w:tcW w:w="2168" w:type="dxa"/>
            <w:vAlign w:val="center"/>
          </w:tcPr>
          <w:p>
            <w:pPr>
              <w:tabs>
                <w:tab w:val="left" w:pos="453"/>
              </w:tabs>
              <w:jc w:val="center"/>
              <w:textAlignment w:val="center"/>
              <w:rPr>
                <w:rFonts w:ascii="Times New Roman" w:hAnsi="Times New Roman" w:eastAsia="华文仿宋" w:cs="Times New Roman"/>
                <w:sz w:val="26"/>
                <w:szCs w:val="26"/>
                <w:lang w:bidi="ar"/>
              </w:rPr>
            </w:pPr>
            <w:r>
              <w:rPr>
                <w:rFonts w:ascii="Times New Roman" w:hAnsi="Times New Roman" w:eastAsia="华文仿宋" w:cs="Times New Roman"/>
                <w:sz w:val="26"/>
                <w:szCs w:val="26"/>
                <w:lang w:bidi="ar"/>
              </w:rPr>
              <w:t>1,600.00</w:t>
            </w:r>
          </w:p>
        </w:tc>
      </w:tr>
    </w:tbl>
    <w:p>
      <w:pPr>
        <w:spacing w:after="91"/>
        <w:ind w:left="613"/>
        <w:jc w:val="center"/>
      </w:pPr>
      <w:r>
        <w:rPr>
          <w:rFonts w:ascii="Times New Roman" w:hAnsi="Times New Roman" w:eastAsia="Times New Roman" w:cs="Times New Roman"/>
          <w:sz w:val="24"/>
        </w:rPr>
        <w:t xml:space="preserve"> </w:t>
      </w:r>
    </w:p>
    <w:p>
      <w:pPr>
        <w:pStyle w:val="3"/>
        <w:numPr>
          <w:ilvl w:val="0"/>
          <w:numId w:val="4"/>
        </w:numPr>
        <w:ind w:right="26"/>
        <w:jc w:val="center"/>
        <w:sectPr>
          <w:footerReference r:id="rId6" w:type="first"/>
          <w:footerReference r:id="rId5" w:type="default"/>
          <w:pgSz w:w="11906" w:h="16838"/>
          <w:pgMar w:top="720" w:right="720" w:bottom="720" w:left="720" w:header="851" w:footer="567" w:gutter="0"/>
          <w:cols w:space="720" w:num="1"/>
          <w:titlePg/>
          <w:docGrid w:type="lines" w:linePitch="312" w:charSpace="0"/>
        </w:sectPr>
      </w:pPr>
    </w:p>
    <w:p>
      <w:pPr>
        <w:pStyle w:val="3"/>
        <w:numPr>
          <w:ilvl w:val="0"/>
          <w:numId w:val="4"/>
        </w:numPr>
        <w:ind w:right="26"/>
        <w:jc w:val="center"/>
      </w:pPr>
      <w:r>
        <w:t xml:space="preserve">申请增设专业的理由和基础 </w:t>
      </w:r>
    </w:p>
    <w:p>
      <w:pPr>
        <w:pBdr>
          <w:top w:val="single" w:color="000000" w:sz="4" w:space="0"/>
          <w:left w:val="single" w:color="000000" w:sz="4" w:space="0"/>
          <w:bottom w:val="single" w:color="000000" w:sz="4" w:space="0"/>
          <w:right w:val="single" w:color="000000" w:sz="4" w:space="0"/>
        </w:pBdr>
        <w:spacing w:after="6" w:line="360" w:lineRule="exact"/>
        <w:ind w:left="91" w:hanging="11"/>
        <w:rPr>
          <w:rFonts w:ascii="Times New Roman" w:hAnsi="Times New Roman" w:eastAsia="Times New Roman" w:cs="Times New Roman"/>
          <w:sz w:val="21"/>
        </w:rPr>
      </w:pPr>
      <w:r>
        <w:rPr>
          <w:rFonts w:ascii="微软雅黑" w:hAnsi="微软雅黑" w:eastAsia="微软雅黑" w:cs="微软雅黑"/>
          <w:sz w:val="24"/>
        </w:rPr>
        <w:t>（应包括申请增设专业的主要理由、支撑该专业发展的学科基础、学校专业发展规划等方面的内容）（如需要可加页）</w:t>
      </w:r>
      <w:r>
        <w:rPr>
          <w:rFonts w:ascii="Times New Roman" w:hAnsi="Times New Roman" w:eastAsia="Times New Roman" w:cs="Times New Roman"/>
          <w:sz w:val="21"/>
        </w:rPr>
        <w:t xml:space="preserve"> </w:t>
      </w:r>
    </w:p>
    <w:p>
      <w:pPr>
        <w:widowControl w:val="0"/>
        <w:spacing w:after="0" w:line="240" w:lineRule="auto"/>
        <w:contextualSpacing/>
        <w:jc w:val="both"/>
        <w:rPr>
          <w:rFonts w:ascii="仿宋" w:hAnsi="仿宋" w:eastAsia="仿宋" w:cs="Times New Roman"/>
          <w:kern w:val="2"/>
          <w:sz w:val="26"/>
          <w:szCs w:val="26"/>
        </w:rPr>
      </w:pPr>
      <w:r>
        <w:rPr>
          <w:sz w:val="21"/>
        </w:rPr>
        <mc:AlternateContent>
          <mc:Choice Requires="wps">
            <w:drawing>
              <wp:anchor distT="0" distB="0" distL="114300" distR="114300" simplePos="0" relativeHeight="251656192" behindDoc="1" locked="0" layoutInCell="1" allowOverlap="1">
                <wp:simplePos x="0" y="0"/>
                <wp:positionH relativeFrom="column">
                  <wp:posOffset>635</wp:posOffset>
                </wp:positionH>
                <wp:positionV relativeFrom="paragraph">
                  <wp:posOffset>34925</wp:posOffset>
                </wp:positionV>
                <wp:extent cx="6675755" cy="8230235"/>
                <wp:effectExtent l="4445" t="4445" r="6350" b="13970"/>
                <wp:wrapNone/>
                <wp:docPr id="3" name="文本框 3"/>
                <wp:cNvGraphicFramePr/>
                <a:graphic xmlns:a="http://schemas.openxmlformats.org/drawingml/2006/main">
                  <a:graphicData uri="http://schemas.microsoft.com/office/word/2010/wordprocessingShape">
                    <wps:wsp>
                      <wps:cNvSpPr txBox="1"/>
                      <wps:spPr>
                        <a:xfrm>
                          <a:off x="483235" y="2367915"/>
                          <a:ext cx="6675755" cy="82302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hint="eastAsia" w:ascii="仿宋" w:hAnsi="仿宋" w:eastAsia="仿宋" w:cs="Times New Roman"/>
                                <w:kern w:val="2"/>
                                <w:sz w:val="26"/>
                                <w:szCs w:val="26"/>
                              </w:rPr>
                              <w:t>本次</w:t>
                            </w:r>
                            <w:r>
                              <w:rPr>
                                <w:rFonts w:ascii="Times New Roman" w:hAnsi="Times New Roman" w:eastAsia="仿宋" w:cs="Times New Roman"/>
                                <w:kern w:val="2"/>
                                <w:sz w:val="26"/>
                                <w:szCs w:val="26"/>
                              </w:rPr>
                              <w:t>申请的“临床医学”专业不同于我校固有的“临床医学”专业。根据当前我国“新医科”发展趋势，实行医学教育改革，以我校传统品牌学科临床医学为主干，</w:t>
                            </w:r>
                            <w:r>
                              <w:rPr>
                                <w:rFonts w:hint="eastAsia" w:ascii="Times New Roman" w:hAnsi="Times New Roman" w:eastAsia="仿宋" w:cs="Times New Roman"/>
                                <w:kern w:val="2"/>
                                <w:sz w:val="26"/>
                                <w:szCs w:val="26"/>
                              </w:rPr>
                              <w:t>整合</w:t>
                            </w:r>
                            <w:r>
                              <w:rPr>
                                <w:rFonts w:ascii="Times New Roman" w:hAnsi="Times New Roman" w:eastAsia="仿宋" w:cs="Times New Roman"/>
                                <w:kern w:val="2"/>
                                <w:sz w:val="26"/>
                                <w:szCs w:val="26"/>
                              </w:rPr>
                              <w:t>伦敦玛丽女王大学优势学科--精准医学科学，强强联合，开展本科生合作教育项目，培养既精通临床医学专业又熟知精准医学科学的复合型医学人才，以迎接精准医疗新时代的到来。</w:t>
                            </w:r>
                          </w:p>
                          <w:p>
                            <w:pPr>
                              <w:widowControl w:val="0"/>
                              <w:spacing w:after="0" w:line="400" w:lineRule="exact"/>
                              <w:contextualSpacing/>
                              <w:jc w:val="both"/>
                              <w:rPr>
                                <w:rFonts w:ascii="Times New Roman" w:hAnsi="Times New Roman" w:eastAsia="仿宋" w:cs="Times New Roman"/>
                                <w:kern w:val="2"/>
                                <w:sz w:val="26"/>
                                <w:szCs w:val="26"/>
                              </w:rPr>
                            </w:pPr>
                            <w:r>
                              <w:rPr>
                                <w:rFonts w:ascii="Times New Roman" w:hAnsi="Times New Roman" w:eastAsia="仿宋" w:cs="Times New Roman"/>
                                <w:b/>
                                <w:bCs/>
                                <w:kern w:val="2"/>
                                <w:sz w:val="26"/>
                                <w:szCs w:val="26"/>
                              </w:rPr>
                              <w:t>申请“临床医学”专业的主要理由</w:t>
                            </w:r>
                            <w:r>
                              <w:rPr>
                                <w:rFonts w:ascii="Times New Roman" w:hAnsi="Times New Roman" w:eastAsia="仿宋" w:cs="Times New Roman"/>
                                <w:kern w:val="2"/>
                                <w:sz w:val="26"/>
                                <w:szCs w:val="26"/>
                              </w:rPr>
                              <w:t>：</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创新医学教育，培养跨学科医学人才，为我国医学教育发展战略。陈宝生部长“在新时代全国高等学校本科教育工作会议上的讲话”中明确指出：“要加强医学教育创新发展，医学教育要树立大健康理念，加快培养具有仁心仁术的卓越医学人才，实现从治疗为主到生命全周期、健康全过程的全覆盖。”我国的传统医学教育培养了大批的临床医学工作者，从对常见病的处理和病患的诊治角度上评估，我国的医疗水平总体并不差。但是，医疗技术的发明和创新远远落后于欧美先进国家。世界医疗技术的创新发明几乎50%出自美国，其余来自欧洲和日本，我国的医疗技术发明对人类的贡献与经济建设的贡献相比远不对称，其主要原因是我国医务工作者的科研水平和知识面与欧美先进国家无法匹敌。因此，我国的医学教育在一定规模/范围内，应实行改革创新，加强跨学科连接，培养学生的科研素质，扩大学生的视野，使学生具备多学科知识，以适应国家科学技术发展的总战略，赶超世界一流。</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临床医学</w:t>
                            </w:r>
                            <w:r>
                              <w:rPr>
                                <w:rFonts w:hint="eastAsia" w:ascii="Times New Roman" w:hAnsi="Times New Roman" w:eastAsia="仿宋" w:cs="Times New Roman"/>
                                <w:kern w:val="2"/>
                                <w:sz w:val="26"/>
                                <w:szCs w:val="26"/>
                              </w:rPr>
                              <w:t>与精准医学链接</w:t>
                            </w:r>
                            <w:r>
                              <w:rPr>
                                <w:rFonts w:ascii="Times New Roman" w:hAnsi="Times New Roman" w:eastAsia="仿宋" w:cs="Times New Roman"/>
                                <w:kern w:val="2"/>
                                <w:sz w:val="26"/>
                                <w:szCs w:val="26"/>
                              </w:rPr>
                              <w:t>，提高预防和治疗效率，成为健康医学发展方向。随着人们生活方式的改变和寿命的延长，危害身体健康和生命的重大疾病如肿瘤、糖尿病和心血管疾病的发病率在我国迅速上升。一方面，现代医学科学研究揭示，同一种疾病可由不同基因变化引起，相同的表象隐藏着不同的分子发病机制和病理变化，传统的对症医疗不能达到有效的治疗效果。另一方面，基因型的差异可导致药物的不良反应。治标不治本的传统疗法，不能达到理想的治疗效果，且加重了病人和医疗保险的负担。由此催生了精准医学，根据患者的基因特点和病理特征，实施量身定制的健康医疗和临床决策，对疾病采取精准且经济上有效的预防和治疗措施。</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2011年，美国科学院、美国工程院、美国国立卫生研究院及美国科学委员会共同发出“迈向精准医学”的倡议。这篇报告提出了通过遗传关联研究和与临床医学紧密接轨，来实现人类疾病精准治疗和有效预警。2015年1月20日，美国总统奥巴马在国情咨文中正式提出“精准医学计划”（Precision Medicine Initiative）。在我国，精准医学的概念也较早地在临床医学运用中提及。2006年，北京清华长庚医院执行院长董家鸿教授提出“精准肝胆外科”的理念，并被广泛运用到临床治疗中；2013年上海科技大学生命科学学院院长吴家睿教授提出了基于系统生物学的精确医学；2015年3月11日，国家科技部首次召开国家</w:t>
                            </w:r>
                            <w:r>
                              <w:rPr>
                                <w:rFonts w:hint="eastAsia" w:ascii="Times New Roman" w:hAnsi="Times New Roman" w:eastAsia="仿宋" w:cs="Times New Roman"/>
                                <w:kern w:val="2"/>
                                <w:sz w:val="26"/>
                                <w:szCs w:val="26"/>
                              </w:rPr>
                              <w:t xml:space="preserve">   </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05pt;margin-top:2.75pt;height:648.05pt;width:525.65pt;z-index:-251660288;mso-width-relative:page;mso-height-relative:page;" fillcolor="#FFFFFF [3201]" filled="t" stroked="t" coordsize="21600,21600" o:gfxdata="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AO2pRDUAAAACAEAAA8AAAAAAAAAAQAgAAAA&#10;IgAAAGRycy9kb3ducmV2LnhtbFBLAQIUABQAAAAIAIdO4kBfW0pUSAIAAHUEAAAOAAAAAAAAAAEA&#10;IAAAACMBAABkcnMvZTJvRG9jLnhtbFBLBQYAAAAABgAGAFkBAADdBQAAAAA=&#10;">
                <v:fill on="t" focussize="0,0"/>
                <v:stroke weight="0.5pt" color="#000000 [3204]" joinstyle="round"/>
                <v:imagedata o:title=""/>
                <o:lock v:ext="edit" aspectratio="f"/>
                <v:textbox>
                  <w:txbxContent>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hint="eastAsia" w:ascii="仿宋" w:hAnsi="仿宋" w:eastAsia="仿宋" w:cs="Times New Roman"/>
                          <w:kern w:val="2"/>
                          <w:sz w:val="26"/>
                          <w:szCs w:val="26"/>
                        </w:rPr>
                        <w:t>本次</w:t>
                      </w:r>
                      <w:r>
                        <w:rPr>
                          <w:rFonts w:ascii="Times New Roman" w:hAnsi="Times New Roman" w:eastAsia="仿宋" w:cs="Times New Roman"/>
                          <w:kern w:val="2"/>
                          <w:sz w:val="26"/>
                          <w:szCs w:val="26"/>
                        </w:rPr>
                        <w:t>申请的“临床医学”专业不同于我校固有的“临床医学”专业。根据当前我国“新医科”发展趋势，实行医学教育改革，以我校传统品牌学科临床医学为主干，</w:t>
                      </w:r>
                      <w:r>
                        <w:rPr>
                          <w:rFonts w:hint="eastAsia" w:ascii="Times New Roman" w:hAnsi="Times New Roman" w:eastAsia="仿宋" w:cs="Times New Roman"/>
                          <w:kern w:val="2"/>
                          <w:sz w:val="26"/>
                          <w:szCs w:val="26"/>
                        </w:rPr>
                        <w:t>整合</w:t>
                      </w:r>
                      <w:r>
                        <w:rPr>
                          <w:rFonts w:ascii="Times New Roman" w:hAnsi="Times New Roman" w:eastAsia="仿宋" w:cs="Times New Roman"/>
                          <w:kern w:val="2"/>
                          <w:sz w:val="26"/>
                          <w:szCs w:val="26"/>
                        </w:rPr>
                        <w:t>伦敦玛丽女王大学优势学科--精准医学科学，强强联合，开展本科生合作教育项目，培养既精通临床医学专业又熟知精准医学科学的复合型医学人才，以迎接精准医疗新时代的到来。</w:t>
                      </w:r>
                    </w:p>
                    <w:p>
                      <w:pPr>
                        <w:widowControl w:val="0"/>
                        <w:spacing w:after="0" w:line="400" w:lineRule="exact"/>
                        <w:contextualSpacing/>
                        <w:jc w:val="both"/>
                        <w:rPr>
                          <w:rFonts w:ascii="Times New Roman" w:hAnsi="Times New Roman" w:eastAsia="仿宋" w:cs="Times New Roman"/>
                          <w:kern w:val="2"/>
                          <w:sz w:val="26"/>
                          <w:szCs w:val="26"/>
                        </w:rPr>
                      </w:pPr>
                      <w:r>
                        <w:rPr>
                          <w:rFonts w:ascii="Times New Roman" w:hAnsi="Times New Roman" w:eastAsia="仿宋" w:cs="Times New Roman"/>
                          <w:b/>
                          <w:bCs/>
                          <w:kern w:val="2"/>
                          <w:sz w:val="26"/>
                          <w:szCs w:val="26"/>
                        </w:rPr>
                        <w:t>申请“临床医学”专业的主要理由</w:t>
                      </w:r>
                      <w:r>
                        <w:rPr>
                          <w:rFonts w:ascii="Times New Roman" w:hAnsi="Times New Roman" w:eastAsia="仿宋" w:cs="Times New Roman"/>
                          <w:kern w:val="2"/>
                          <w:sz w:val="26"/>
                          <w:szCs w:val="26"/>
                        </w:rPr>
                        <w:t>：</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创新医学教育，培养跨学科医学人才，为我国医学教育发展战略。陈宝生部长“在新时代全国高等学校本科教育工作会议上的讲话”中明确指出：“要加强医学教育创新发展，医学教育要树立大健康理念，加快培养具有仁心仁术的卓越医学人才，实现从治疗为主到生命全周期、健康全过程的全覆盖。”我国的传统医学教育培养了大批的临床医学工作者，从对常见病的处理和病患的诊治角度上评估，我国的医疗水平总体并不差。但是，医疗技术的发明和创新远远落后于欧美先进国家。世界医疗技术的创新发明几乎50%出自美国，其余来自欧洲和日本，我国的医疗技术发明对人类的贡献与经济建设的贡献相比远不对称，其主要原因是我国医务工作者的科研水平和知识面与欧美先进国家无法匹敌。因此，我国的医学教育在一定规模/范围内，应实行改革创新，加强跨学科连接，培养学生的科研素质，扩大学生的视野，使学生具备多学科知识，以适应国家科学技术发展的总战略，赶超世界一流。</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临床医学</w:t>
                      </w:r>
                      <w:r>
                        <w:rPr>
                          <w:rFonts w:hint="eastAsia" w:ascii="Times New Roman" w:hAnsi="Times New Roman" w:eastAsia="仿宋" w:cs="Times New Roman"/>
                          <w:kern w:val="2"/>
                          <w:sz w:val="26"/>
                          <w:szCs w:val="26"/>
                        </w:rPr>
                        <w:t>与精准医学链接</w:t>
                      </w:r>
                      <w:r>
                        <w:rPr>
                          <w:rFonts w:ascii="Times New Roman" w:hAnsi="Times New Roman" w:eastAsia="仿宋" w:cs="Times New Roman"/>
                          <w:kern w:val="2"/>
                          <w:sz w:val="26"/>
                          <w:szCs w:val="26"/>
                        </w:rPr>
                        <w:t>，提高预防和治疗效率，成为健康医学发展方向。随着人们生活方式的改变和寿命的延长，危害身体健康和生命的重大疾病如肿瘤、糖尿病和心血管疾病的发病率在我国迅速上升。一方面，现代医学科学研究揭示，同一种疾病可由不同基因变化引起，相同的表象隐藏着不同的分子发病机制和病理变化，传统的对症医疗不能达到有效的治疗效果。另一方面，基因型的差异可导致药物的不良反应。治标不治本的传统疗法，不能达到理想的治疗效果，且加重了病人和医疗保险的负担。由此催生了精准医学，根据患者的基因特点和病理特征，实施量身定制的健康医疗和临床决策，对疾病采取精准且经济上有效的预防和治疗措施。</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2011年，美国科学院、美国工程院、美国国立卫生研究院及美国科学委员会共同发出“迈向精准医学”的倡议。这篇报告提出了通过遗传关联研究和与临床医学紧密接轨，来实现人类疾病精准治疗和有效预警。2015年1月20日，美国总统奥巴马在国情咨文中正式提出“精准医学计划”（Precision Medicine Initiative）。在我国，精准医学的概念也较早地在临床医学运用中提及。2006年，北京清华长庚医院执行院长董家鸿教授提出“精准肝胆外科”的理念，并被广泛运用到临床治疗中；2013年上海科技大学生命科学学院院长吴家睿教授提出了基于系统生物学的精确医学；2015年3月11日，国家科技部首次召开国家</w:t>
                      </w:r>
                      <w:r>
                        <w:rPr>
                          <w:rFonts w:hint="eastAsia" w:ascii="Times New Roman" w:hAnsi="Times New Roman" w:eastAsia="仿宋" w:cs="Times New Roman"/>
                          <w:kern w:val="2"/>
                          <w:sz w:val="26"/>
                          <w:szCs w:val="26"/>
                        </w:rPr>
                        <w:t xml:space="preserve">   </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p>
                    <w:p/>
                  </w:txbxContent>
                </v:textbox>
              </v:shape>
            </w:pict>
          </mc:Fallback>
        </mc:AlternateContent>
      </w:r>
      <w:r>
        <w:rPr>
          <w:rFonts w:hint="eastAsia" w:ascii="Times New Roman" w:hAnsi="Times New Roman" w:eastAsia="宋体" w:cs="Times New Roman"/>
          <w:sz w:val="21"/>
        </w:rPr>
        <w:t xml:space="preserve">           </w:t>
      </w:r>
    </w:p>
    <w:p>
      <w:pPr>
        <w:widowControl w:val="0"/>
        <w:spacing w:after="0" w:line="360" w:lineRule="auto"/>
        <w:contextualSpacing/>
        <w:jc w:val="both"/>
        <w:rPr>
          <w:rFonts w:ascii="仿宋" w:hAnsi="仿宋" w:eastAsia="仿宋" w:cs="Times New Roman"/>
          <w:kern w:val="2"/>
          <w:sz w:val="24"/>
          <w:szCs w:val="24"/>
        </w:rPr>
      </w:pPr>
      <w:r>
        <w:rPr>
          <w:rFonts w:hint="eastAsia" w:ascii="仿宋" w:hAnsi="仿宋" w:eastAsia="仿宋" w:cs="Times New Roman"/>
          <w:kern w:val="2"/>
          <w:sz w:val="24"/>
          <w:szCs w:val="24"/>
        </w:rPr>
        <w:t xml:space="preserve">                      </w:t>
      </w:r>
    </w:p>
    <w:p>
      <w:pPr>
        <w:widowControl w:val="0"/>
        <w:spacing w:after="0" w:line="360" w:lineRule="auto"/>
        <w:contextualSpacing/>
        <w:jc w:val="both"/>
        <w:rPr>
          <w:rFonts w:ascii="仿宋" w:hAnsi="仿宋" w:eastAsia="仿宋" w:cs="Times New Roman"/>
          <w:kern w:val="2"/>
          <w:sz w:val="24"/>
          <w:szCs w:val="24"/>
        </w:rPr>
      </w:pPr>
    </w:p>
    <w:p>
      <w:pPr>
        <w:widowControl w:val="0"/>
        <w:spacing w:after="0" w:line="360" w:lineRule="auto"/>
        <w:contextualSpacing/>
        <w:jc w:val="both"/>
        <w:rPr>
          <w:rFonts w:ascii="仿宋" w:hAnsi="仿宋" w:eastAsia="仿宋" w:cs="Times New Roman"/>
          <w:kern w:val="2"/>
          <w:sz w:val="24"/>
          <w:szCs w:val="24"/>
        </w:rPr>
      </w:pPr>
    </w:p>
    <w:p>
      <w:pPr>
        <w:pStyle w:val="3"/>
        <w:ind w:left="0" w:right="0" w:firstLine="0"/>
        <w:jc w:val="both"/>
      </w:pPr>
    </w:p>
    <w:p/>
    <w:p/>
    <w:p/>
    <w:p/>
    <w:p/>
    <w:p/>
    <w:p/>
    <w:p/>
    <w:p/>
    <w:p>
      <w:pPr>
        <w:sectPr>
          <w:footerReference r:id="rId8" w:type="first"/>
          <w:footerReference r:id="rId7" w:type="default"/>
          <w:pgSz w:w="11906" w:h="16838"/>
          <w:pgMar w:top="720" w:right="720" w:bottom="720" w:left="720" w:header="851" w:footer="567" w:gutter="0"/>
          <w:cols w:space="720" w:num="1"/>
          <w:titlePg/>
          <w:docGrid w:type="lines" w:linePitch="312" w:charSpace="0"/>
        </w:sectPr>
      </w:pPr>
      <w:r>
        <w:br w:type="page"/>
      </w:r>
    </w:p>
    <w:p>
      <w:r>
        <mc:AlternateContent>
          <mc:Choice Requires="wps">
            <w:drawing>
              <wp:anchor distT="0" distB="0" distL="114300" distR="114300" simplePos="0" relativeHeight="251657216" behindDoc="0" locked="0" layoutInCell="1" allowOverlap="1">
                <wp:simplePos x="0" y="0"/>
                <wp:positionH relativeFrom="column">
                  <wp:posOffset>-5715</wp:posOffset>
                </wp:positionH>
                <wp:positionV relativeFrom="paragraph">
                  <wp:posOffset>57785</wp:posOffset>
                </wp:positionV>
                <wp:extent cx="6628765" cy="9265285"/>
                <wp:effectExtent l="4445" t="4445" r="15240" b="7620"/>
                <wp:wrapNone/>
                <wp:docPr id="1" name="文本框 1"/>
                <wp:cNvGraphicFramePr/>
                <a:graphic xmlns:a="http://schemas.openxmlformats.org/drawingml/2006/main">
                  <a:graphicData uri="http://schemas.microsoft.com/office/word/2010/wordprocessingShape">
                    <wps:wsp>
                      <wps:cNvSpPr txBox="1"/>
                      <wps:spPr>
                        <a:xfrm>
                          <a:off x="470535" y="515620"/>
                          <a:ext cx="6628765" cy="92652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widowControl w:val="0"/>
                              <w:spacing w:after="0" w:line="400" w:lineRule="exact"/>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精准医学战略专家会议，大力推动精准医学的发展，并确定在2030年前在精准医学领域投入600亿元；2016年3月17日，新华社发布“中华人民共和国国民经济和社会发展第十三个五年规划纲要”，将生物技术和精准医学列入支持战略性新兴产业发展规划中，精准医疗也成为我国重点发展的医疗领域之一。2018年，国家重点研发项目“精准医学研究”开始启动。因此发展精准医学是推动医学创新发展的重要动力，是健康中国战略的重要组成部分。为了抓住精准医学发展的机遇，我国许多高校相应建立了精准医学研究院，如清华大学、西安交通大学、上海交通大学、四川大学、厦门大学、郑州大学、广州医科大学、青岛大学等。</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高等学校人才培养工作已进入提高质量的升级期、变轨超车的机遇期、改革创新的攻坚期，以适应新时代新形势要求。由于精准医学是一门新兴学科，目前国内专业人才匮乏。因此，培养临床医学和精准医学专业复合型人才，是满足急速发展市场需求的当务之急，是实现从治疗为主到兼具预防治疗、康养的生命健康全周期医学的新理念的创新之举。而实现这一目标的重要举措是实现临床医学与精准医学的嫁接，使学生在掌握临床医学知识的同时，学习精准医学的基本知识。这是我们申请举办中外合作办学，将精准医学科学</w:t>
                            </w:r>
                            <w:r>
                              <w:rPr>
                                <w:rFonts w:hint="eastAsia" w:ascii="Times New Roman" w:hAnsi="Times New Roman" w:eastAsia="仿宋" w:cs="Times New Roman"/>
                                <w:kern w:val="2"/>
                                <w:sz w:val="26"/>
                                <w:szCs w:val="26"/>
                              </w:rPr>
                              <w:t>整合</w:t>
                            </w:r>
                            <w:r>
                              <w:rPr>
                                <w:rFonts w:ascii="Times New Roman" w:hAnsi="Times New Roman" w:eastAsia="仿宋" w:cs="Times New Roman"/>
                                <w:kern w:val="2"/>
                                <w:sz w:val="26"/>
                                <w:szCs w:val="26"/>
                              </w:rPr>
                              <w:t>到临床医学专业的主要依据。</w:t>
                            </w:r>
                          </w:p>
                          <w:p>
                            <w:pPr>
                              <w:widowControl w:val="0"/>
                              <w:spacing w:after="0" w:line="400" w:lineRule="exact"/>
                              <w:contextualSpacing/>
                              <w:jc w:val="both"/>
                              <w:rPr>
                                <w:rFonts w:ascii="Times New Roman" w:hAnsi="Times New Roman" w:eastAsia="仿宋" w:cs="Times New Roman"/>
                                <w:b/>
                                <w:bCs/>
                                <w:kern w:val="2"/>
                                <w:sz w:val="26"/>
                                <w:szCs w:val="26"/>
                              </w:rPr>
                            </w:pPr>
                            <w:r>
                              <w:rPr>
                                <w:rFonts w:ascii="Times New Roman" w:hAnsi="Times New Roman" w:eastAsia="仿宋" w:cs="Times New Roman"/>
                                <w:b/>
                                <w:bCs/>
                                <w:kern w:val="2"/>
                                <w:sz w:val="26"/>
                                <w:szCs w:val="26"/>
                              </w:rPr>
                              <w:t>学校专业发展规划：</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本科教育是我校的传统优势，目前拥有12个学科门类1</w:t>
                            </w:r>
                            <w:r>
                              <w:rPr>
                                <w:rFonts w:hint="eastAsia" w:ascii="Times New Roman" w:hAnsi="Times New Roman" w:eastAsia="仿宋" w:cs="Times New Roman"/>
                                <w:kern w:val="2"/>
                                <w:sz w:val="26"/>
                                <w:szCs w:val="26"/>
                              </w:rPr>
                              <w:t>26</w:t>
                            </w:r>
                            <w:r>
                              <w:rPr>
                                <w:rFonts w:ascii="Times New Roman" w:hAnsi="Times New Roman" w:eastAsia="仿宋" w:cs="Times New Roman"/>
                                <w:kern w:val="2"/>
                                <w:sz w:val="26"/>
                                <w:szCs w:val="26"/>
                              </w:rPr>
                              <w:t>个本科专业。为了实现“双一流”大学的建设目标，我校在专业设置和学科发展规划中，将采取以下措施：（1）强调跨学科链接，鼓励交叉学科专业的设置，培养跨学科新型复合型人才；（2）强调科教合一，使大学朝着研究密集型大学迈进，引领世界科教潮流；（3）强调国际化合作办学，引进国外先进理念、经验和资源，使我校的整体实力迈向新台阶。</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我校与英国伦敦玛丽女王大学举办的临床医学和生物医学本科生双学位合作培养项目是我校中外合作办学的成功案例。该大学每年派遣大批教师来我校执教，并开展科研合作，帮助我校教学师资和科研队伍</w:t>
                            </w:r>
                            <w:r>
                              <w:rPr>
                                <w:rFonts w:hint="eastAsia" w:ascii="Times New Roman" w:hAnsi="Times New Roman" w:eastAsia="仿宋" w:cs="Times New Roman"/>
                                <w:kern w:val="2"/>
                                <w:sz w:val="26"/>
                                <w:szCs w:val="26"/>
                              </w:rPr>
                              <w:t>建设</w:t>
                            </w:r>
                            <w:r>
                              <w:rPr>
                                <w:rFonts w:ascii="Times New Roman" w:hAnsi="Times New Roman" w:eastAsia="仿宋" w:cs="Times New Roman"/>
                                <w:kern w:val="2"/>
                                <w:sz w:val="26"/>
                                <w:szCs w:val="26"/>
                              </w:rPr>
                              <w:t>。项目目前已招收6届学生，2018和2019两届学生</w:t>
                            </w:r>
                            <w:r>
                              <w:rPr>
                                <w:rFonts w:hint="eastAsia" w:ascii="Times New Roman" w:hAnsi="Times New Roman" w:eastAsia="仿宋" w:cs="Times New Roman"/>
                                <w:kern w:val="2"/>
                                <w:sz w:val="26"/>
                                <w:szCs w:val="26"/>
                              </w:rPr>
                              <w:t>已</w:t>
                            </w:r>
                            <w:r>
                              <w:rPr>
                                <w:rFonts w:ascii="Times New Roman" w:hAnsi="Times New Roman" w:eastAsia="仿宋" w:cs="Times New Roman"/>
                                <w:kern w:val="2"/>
                                <w:sz w:val="26"/>
                                <w:szCs w:val="26"/>
                              </w:rPr>
                              <w:t>顺利毕业。总结我校与英国伦敦玛丽女王大学合作办学以来两届毕业去向，亮丽的成果体现在保研和考研上，凸显学生的竞争力和受欢迎程度。连续两</w:t>
                            </w:r>
                            <w:r>
                              <w:rPr>
                                <w:rFonts w:hint="eastAsia" w:ascii="Times New Roman" w:hAnsi="Times New Roman" w:eastAsia="仿宋" w:cs="Times New Roman"/>
                                <w:kern w:val="2"/>
                                <w:sz w:val="26"/>
                                <w:szCs w:val="26"/>
                              </w:rPr>
                              <w:t>届</w:t>
                            </w:r>
                            <w:r>
                              <w:rPr>
                                <w:rFonts w:ascii="Times New Roman" w:hAnsi="Times New Roman" w:eastAsia="仿宋" w:cs="Times New Roman"/>
                                <w:kern w:val="2"/>
                                <w:sz w:val="26"/>
                                <w:szCs w:val="26"/>
                              </w:rPr>
                              <w:t>超过60%的学生已申请到国内和世界知名大学继续攻读研究生；进入985或双一流高校和国外知名大学攻读研究生的比例占所有研究生升学</w:t>
                            </w:r>
                            <w:r>
                              <w:rPr>
                                <w:rFonts w:hint="eastAsia" w:ascii="Times New Roman" w:hAnsi="Times New Roman" w:eastAsia="仿宋" w:cs="Times New Roman"/>
                                <w:kern w:val="2"/>
                                <w:sz w:val="26"/>
                                <w:szCs w:val="26"/>
                              </w:rPr>
                              <w:t>率</w:t>
                            </w:r>
                            <w:r>
                              <w:rPr>
                                <w:rFonts w:ascii="Times New Roman" w:hAnsi="Times New Roman" w:eastAsia="仿宋" w:cs="Times New Roman"/>
                                <w:kern w:val="2"/>
                                <w:sz w:val="26"/>
                                <w:szCs w:val="26"/>
                              </w:rPr>
                              <w:t>的80%。此次申报以“临床医学”为主干、拓展至“精准医学科学”的联合培养项目以临床医学和生物医学</w:t>
                            </w:r>
                            <w:r>
                              <w:rPr>
                                <w:rFonts w:hint="eastAsia" w:ascii="Times New Roman" w:hAnsi="Times New Roman" w:eastAsia="仿宋" w:cs="Times New Roman"/>
                                <w:kern w:val="2"/>
                                <w:sz w:val="26"/>
                                <w:szCs w:val="26"/>
                              </w:rPr>
                              <w:t>合作</w:t>
                            </w:r>
                            <w:r>
                              <w:rPr>
                                <w:rFonts w:ascii="Times New Roman" w:hAnsi="Times New Roman" w:eastAsia="仿宋" w:cs="Times New Roman"/>
                                <w:kern w:val="2"/>
                                <w:sz w:val="26"/>
                                <w:szCs w:val="26"/>
                              </w:rPr>
                              <w:t>项目为模板，根据当前“新医科”发展的需要和新兴医学领域未来发展的方向，在医学教育领域</w:t>
                            </w:r>
                            <w:r>
                              <w:rPr>
                                <w:rFonts w:hint="eastAsia" w:ascii="Times New Roman" w:hAnsi="Times New Roman" w:eastAsia="仿宋" w:cs="Times New Roman"/>
                                <w:kern w:val="2"/>
                                <w:sz w:val="26"/>
                                <w:szCs w:val="26"/>
                              </w:rPr>
                              <w:t>再</w:t>
                            </w:r>
                            <w:r>
                              <w:rPr>
                                <w:rFonts w:ascii="Times New Roman" w:hAnsi="Times New Roman" w:eastAsia="仿宋" w:cs="Times New Roman"/>
                                <w:kern w:val="2"/>
                                <w:sz w:val="26"/>
                                <w:szCs w:val="26"/>
                              </w:rPr>
                              <w:t>拓展一个新的合作项目，推动特色性的合作办学，提供一流的精准医学科学与临床医</w:t>
                            </w:r>
                            <w:r>
                              <w:rPr>
                                <w:rFonts w:hint="eastAsia" w:ascii="Times New Roman" w:hAnsi="Times New Roman" w:eastAsia="仿宋" w:cs="Times New Roman"/>
                                <w:kern w:val="2"/>
                                <w:sz w:val="26"/>
                                <w:szCs w:val="26"/>
                              </w:rPr>
                              <w:t>学</w:t>
                            </w:r>
                            <w:r>
                              <w:rPr>
                                <w:rFonts w:ascii="Times New Roman" w:hAnsi="Times New Roman" w:eastAsia="仿宋" w:cs="Times New Roman"/>
                                <w:kern w:val="2"/>
                                <w:sz w:val="26"/>
                                <w:szCs w:val="26"/>
                              </w:rPr>
                              <w:t>的交叉结合课程，培养服务中国大健康建设的复合型人才，同时为我国成为世界精准医学领域的领导地位输送紧缺人才。</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由于精准医学科学的基础课程与临床医学的基础课程有交叉和重叠，在课程设置上，对有交叉和重叠的课程进行整合，采取课堂授课与学生课外作业相结合的形式，在课程中逐步引进基于问题的学习，以加强学科之间的系统联系，培养学生独立思考和分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45pt;margin-top:4.55pt;height:729.55pt;width:521.95pt;z-index:251657216;mso-width-relative:page;mso-height-relative:page;" fillcolor="#FFFFFF [3201]" filled="t" stroked="t" coordsize="21600,21600" o:gfxdata="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vH73J1gAAAAkBAAAPAAAAAAAAAAEAIAAA&#10;ACIAAABkcnMvZG93bnJldi54bWxQSwECFAAUAAAACACHTuJAbjpSqUcCAAB0BAAADgAAAAAAAAAB&#10;ACAAAAAlAQAAZHJzL2Uyb0RvYy54bWxQSwUGAAAAAAYABgBZAQAA3gUAAAAA&#10;">
                <v:fill on="t" focussize="0,0"/>
                <v:stroke weight="0.5pt" color="#000000 [3204]" joinstyle="round"/>
                <v:imagedata o:title=""/>
                <o:lock v:ext="edit" aspectratio="f"/>
                <v:textbox>
                  <w:txbxContent>
                    <w:p>
                      <w:pPr>
                        <w:widowControl w:val="0"/>
                        <w:spacing w:after="0" w:line="400" w:lineRule="exact"/>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精准医学战略专家会议，大力推动精准医学的发展，并确定在2030年前在精准医学领域投入600亿元；2016年3月17日，新华社发布“中华人民共和国国民经济和社会发展第十三个五年规划纲要”，将生物技术和精准医学列入支持战略性新兴产业发展规划中，精准医疗也成为我国重点发展的医疗领域之一。2018年，国家重点研发项目“精准医学研究”开始启动。因此发展精准医学是推动医学创新发展的重要动力，是健康中国战略的重要组成部分。为了抓住精准医学发展的机遇，我国许多高校相应建立了精准医学研究院，如清华大学、西安交通大学、上海交通大学、四川大学、厦门大学、郑州大学、广州医科大学、青岛大学等。</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高等学校人才培养工作已进入提高质量的升级期、变轨超车的机遇期、改革创新的攻坚期，以适应新时代新形势要求。由于精准医学是一门新兴学科，目前国内专业人才匮乏。因此，培养临床医学和精准医学专业复合型人才，是满足急速发展市场需求的当务之急，是实现从治疗为主到兼具预防治疗、康养的生命健康全周期医学的新理念的创新之举。而实现这一目标的重要举措是实现临床医学与精准医学的嫁接，使学生在掌握临床医学知识的同时，学习精准医学的基本知识。这是我们申请举办中外合作办学，将精准医学科学</w:t>
                      </w:r>
                      <w:r>
                        <w:rPr>
                          <w:rFonts w:hint="eastAsia" w:ascii="Times New Roman" w:hAnsi="Times New Roman" w:eastAsia="仿宋" w:cs="Times New Roman"/>
                          <w:kern w:val="2"/>
                          <w:sz w:val="26"/>
                          <w:szCs w:val="26"/>
                        </w:rPr>
                        <w:t>整合</w:t>
                      </w:r>
                      <w:r>
                        <w:rPr>
                          <w:rFonts w:ascii="Times New Roman" w:hAnsi="Times New Roman" w:eastAsia="仿宋" w:cs="Times New Roman"/>
                          <w:kern w:val="2"/>
                          <w:sz w:val="26"/>
                          <w:szCs w:val="26"/>
                        </w:rPr>
                        <w:t>到临床医学专业的主要依据。</w:t>
                      </w:r>
                    </w:p>
                    <w:p>
                      <w:pPr>
                        <w:widowControl w:val="0"/>
                        <w:spacing w:after="0" w:line="400" w:lineRule="exact"/>
                        <w:contextualSpacing/>
                        <w:jc w:val="both"/>
                        <w:rPr>
                          <w:rFonts w:ascii="Times New Roman" w:hAnsi="Times New Roman" w:eastAsia="仿宋" w:cs="Times New Roman"/>
                          <w:b/>
                          <w:bCs/>
                          <w:kern w:val="2"/>
                          <w:sz w:val="26"/>
                          <w:szCs w:val="26"/>
                        </w:rPr>
                      </w:pPr>
                      <w:r>
                        <w:rPr>
                          <w:rFonts w:ascii="Times New Roman" w:hAnsi="Times New Roman" w:eastAsia="仿宋" w:cs="Times New Roman"/>
                          <w:b/>
                          <w:bCs/>
                          <w:kern w:val="2"/>
                          <w:sz w:val="26"/>
                          <w:szCs w:val="26"/>
                        </w:rPr>
                        <w:t>学校专业发展规划：</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本科教育是我校的传统优势，目前拥有12个学科门类1</w:t>
                      </w:r>
                      <w:r>
                        <w:rPr>
                          <w:rFonts w:hint="eastAsia" w:ascii="Times New Roman" w:hAnsi="Times New Roman" w:eastAsia="仿宋" w:cs="Times New Roman"/>
                          <w:kern w:val="2"/>
                          <w:sz w:val="26"/>
                          <w:szCs w:val="26"/>
                        </w:rPr>
                        <w:t>26</w:t>
                      </w:r>
                      <w:r>
                        <w:rPr>
                          <w:rFonts w:ascii="Times New Roman" w:hAnsi="Times New Roman" w:eastAsia="仿宋" w:cs="Times New Roman"/>
                          <w:kern w:val="2"/>
                          <w:sz w:val="26"/>
                          <w:szCs w:val="26"/>
                        </w:rPr>
                        <w:t>个本科专业。为了实现“双一流”大学的建设目标，我校在专业设置和学科发展规划中，将采取以下措施：（1）强调跨学科链接，鼓励交叉学科专业的设置，培养跨学科新型复合型人才；（2）强调科教合一，使大学朝着研究密集型大学迈进，引领世界科教潮流；（3）强调国际化合作办学，引进国外先进理念、经验和资源，使我校的整体实力迈向新台阶。</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我校与英国伦敦玛丽女王大学举办的临床医学和生物医学本科生双学位合作培养项目是我校中外合作办学的成功案例。该大学每年派遣大批教师来我校执教，并开展科研合作，帮助我校教学师资和科研队伍</w:t>
                      </w:r>
                      <w:r>
                        <w:rPr>
                          <w:rFonts w:hint="eastAsia" w:ascii="Times New Roman" w:hAnsi="Times New Roman" w:eastAsia="仿宋" w:cs="Times New Roman"/>
                          <w:kern w:val="2"/>
                          <w:sz w:val="26"/>
                          <w:szCs w:val="26"/>
                        </w:rPr>
                        <w:t>建设</w:t>
                      </w:r>
                      <w:r>
                        <w:rPr>
                          <w:rFonts w:ascii="Times New Roman" w:hAnsi="Times New Roman" w:eastAsia="仿宋" w:cs="Times New Roman"/>
                          <w:kern w:val="2"/>
                          <w:sz w:val="26"/>
                          <w:szCs w:val="26"/>
                        </w:rPr>
                        <w:t>。项目目前已招收6届学生，2018和2019两届学生</w:t>
                      </w:r>
                      <w:r>
                        <w:rPr>
                          <w:rFonts w:hint="eastAsia" w:ascii="Times New Roman" w:hAnsi="Times New Roman" w:eastAsia="仿宋" w:cs="Times New Roman"/>
                          <w:kern w:val="2"/>
                          <w:sz w:val="26"/>
                          <w:szCs w:val="26"/>
                        </w:rPr>
                        <w:t>已</w:t>
                      </w:r>
                      <w:r>
                        <w:rPr>
                          <w:rFonts w:ascii="Times New Roman" w:hAnsi="Times New Roman" w:eastAsia="仿宋" w:cs="Times New Roman"/>
                          <w:kern w:val="2"/>
                          <w:sz w:val="26"/>
                          <w:szCs w:val="26"/>
                        </w:rPr>
                        <w:t>顺利毕业。总结我校与英国伦敦玛丽女王大学合作办学以来两届毕业去向，亮丽的成果体现在保研和考研上，凸显学生的竞争力和受欢迎程度。连续两</w:t>
                      </w:r>
                      <w:r>
                        <w:rPr>
                          <w:rFonts w:hint="eastAsia" w:ascii="Times New Roman" w:hAnsi="Times New Roman" w:eastAsia="仿宋" w:cs="Times New Roman"/>
                          <w:kern w:val="2"/>
                          <w:sz w:val="26"/>
                          <w:szCs w:val="26"/>
                        </w:rPr>
                        <w:t>届</w:t>
                      </w:r>
                      <w:r>
                        <w:rPr>
                          <w:rFonts w:ascii="Times New Roman" w:hAnsi="Times New Roman" w:eastAsia="仿宋" w:cs="Times New Roman"/>
                          <w:kern w:val="2"/>
                          <w:sz w:val="26"/>
                          <w:szCs w:val="26"/>
                        </w:rPr>
                        <w:t>超过60%的学生已申请到国内和世界知名大学继续攻读研究生；进入985或双一流高校和国外知名大学攻读研究生的比例占所有研究生升学</w:t>
                      </w:r>
                      <w:r>
                        <w:rPr>
                          <w:rFonts w:hint="eastAsia" w:ascii="Times New Roman" w:hAnsi="Times New Roman" w:eastAsia="仿宋" w:cs="Times New Roman"/>
                          <w:kern w:val="2"/>
                          <w:sz w:val="26"/>
                          <w:szCs w:val="26"/>
                        </w:rPr>
                        <w:t>率</w:t>
                      </w:r>
                      <w:r>
                        <w:rPr>
                          <w:rFonts w:ascii="Times New Roman" w:hAnsi="Times New Roman" w:eastAsia="仿宋" w:cs="Times New Roman"/>
                          <w:kern w:val="2"/>
                          <w:sz w:val="26"/>
                          <w:szCs w:val="26"/>
                        </w:rPr>
                        <w:t>的80%。此次申报以“临床医学”为主干、拓展至“精准医学科学”的联合培养项目以临床医学和生物医学</w:t>
                      </w:r>
                      <w:r>
                        <w:rPr>
                          <w:rFonts w:hint="eastAsia" w:ascii="Times New Roman" w:hAnsi="Times New Roman" w:eastAsia="仿宋" w:cs="Times New Roman"/>
                          <w:kern w:val="2"/>
                          <w:sz w:val="26"/>
                          <w:szCs w:val="26"/>
                        </w:rPr>
                        <w:t>合作</w:t>
                      </w:r>
                      <w:r>
                        <w:rPr>
                          <w:rFonts w:ascii="Times New Roman" w:hAnsi="Times New Roman" w:eastAsia="仿宋" w:cs="Times New Roman"/>
                          <w:kern w:val="2"/>
                          <w:sz w:val="26"/>
                          <w:szCs w:val="26"/>
                        </w:rPr>
                        <w:t>项目为模板，根据当前“新医科”发展的需要和新兴医学领域未来发展的方向，在医学教育领域</w:t>
                      </w:r>
                      <w:r>
                        <w:rPr>
                          <w:rFonts w:hint="eastAsia" w:ascii="Times New Roman" w:hAnsi="Times New Roman" w:eastAsia="仿宋" w:cs="Times New Roman"/>
                          <w:kern w:val="2"/>
                          <w:sz w:val="26"/>
                          <w:szCs w:val="26"/>
                        </w:rPr>
                        <w:t>再</w:t>
                      </w:r>
                      <w:r>
                        <w:rPr>
                          <w:rFonts w:ascii="Times New Roman" w:hAnsi="Times New Roman" w:eastAsia="仿宋" w:cs="Times New Roman"/>
                          <w:kern w:val="2"/>
                          <w:sz w:val="26"/>
                          <w:szCs w:val="26"/>
                        </w:rPr>
                        <w:t>拓展一个新的合作项目，推动特色性的合作办学，提供一流的精准医学科学与临床医</w:t>
                      </w:r>
                      <w:r>
                        <w:rPr>
                          <w:rFonts w:hint="eastAsia" w:ascii="Times New Roman" w:hAnsi="Times New Roman" w:eastAsia="仿宋" w:cs="Times New Roman"/>
                          <w:kern w:val="2"/>
                          <w:sz w:val="26"/>
                          <w:szCs w:val="26"/>
                        </w:rPr>
                        <w:t>学</w:t>
                      </w:r>
                      <w:r>
                        <w:rPr>
                          <w:rFonts w:ascii="Times New Roman" w:hAnsi="Times New Roman" w:eastAsia="仿宋" w:cs="Times New Roman"/>
                          <w:kern w:val="2"/>
                          <w:sz w:val="26"/>
                          <w:szCs w:val="26"/>
                        </w:rPr>
                        <w:t>的交叉结合课程，培养服务中国大健康建设的复合型人才，同时为我国成为世界精准医学领域的领导地位输送紧缺人才。</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由于精准医学科学的基础课程与临床医学的基础课程有交叉和重叠，在课程设置上，对有交叉和重叠的课程进行整合，采取课堂授课与学生课外作业相结合的形式，在课程中逐步引进基于问题的学习，以加强学科之间的系统联系，培养学生独立思考和分析</w:t>
                      </w:r>
                    </w:p>
                  </w:txbxContent>
                </v:textbox>
              </v:shape>
            </w:pict>
          </mc:Fallback>
        </mc:AlternateContent>
      </w:r>
    </w:p>
    <w:p/>
    <w:p>
      <w:pPr>
        <w:sectPr>
          <w:pgSz w:w="11906" w:h="16838"/>
          <w:pgMar w:top="720" w:right="720" w:bottom="720" w:left="720" w:header="851" w:footer="567" w:gutter="0"/>
          <w:cols w:space="720" w:num="1"/>
          <w:titlePg/>
          <w:docGrid w:type="lines" w:linePitch="312" w:charSpace="0"/>
        </w:sectPr>
      </w:pPr>
      <w:r>
        <w:br w:type="page"/>
      </w:r>
    </w:p>
    <w:p>
      <w:r>
        <mc:AlternateContent>
          <mc:Choice Requires="wps">
            <w:drawing>
              <wp:anchor distT="0" distB="0" distL="114300" distR="114300" simplePos="0" relativeHeight="251658240" behindDoc="1" locked="0" layoutInCell="1" allowOverlap="1">
                <wp:simplePos x="0" y="0"/>
                <wp:positionH relativeFrom="column">
                  <wp:posOffset>13335</wp:posOffset>
                </wp:positionH>
                <wp:positionV relativeFrom="paragraph">
                  <wp:posOffset>7620</wp:posOffset>
                </wp:positionV>
                <wp:extent cx="6590665" cy="9263380"/>
                <wp:effectExtent l="5080" t="5080" r="14605" b="27940"/>
                <wp:wrapTight wrapText="bothSides">
                  <wp:wrapPolygon>
                    <wp:start x="-15" y="-12"/>
                    <wp:lineTo x="-15" y="21576"/>
                    <wp:lineTo x="21525" y="21576"/>
                    <wp:lineTo x="21525" y="-12"/>
                    <wp:lineTo x="-15" y="-12"/>
                  </wp:wrapPolygon>
                </wp:wrapTight>
                <wp:docPr id="4" name="文本框 4"/>
                <wp:cNvGraphicFramePr/>
                <a:graphic xmlns:a="http://schemas.openxmlformats.org/drawingml/2006/main">
                  <a:graphicData uri="http://schemas.microsoft.com/office/word/2010/wordprocessingShape">
                    <wps:wsp>
                      <wps:cNvSpPr txBox="1"/>
                      <wps:spPr>
                        <a:xfrm>
                          <a:off x="480060" y="467995"/>
                          <a:ext cx="6590665" cy="92633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widowControl w:val="0"/>
                              <w:spacing w:after="0" w:line="400" w:lineRule="exact"/>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综合问题的能力。通过五年的学习，学生将与普通临床医学生一样，掌握临床医学的基本知识和操作技能。在临床前期的课程将按照我国临床医学生的培养方案实施，即讲授基础医学主干课程，将融入精准医学科学的基本课程作为拓展课程，如：诊断和个性化医学技术、基因组学、生物信息学、模型化和临床试验、大数据分析和处理、纳米医学、精准医学研究课题等。大三亦将为学生提供科研的机会，在科学研究方法和</w:t>
                            </w:r>
                            <w:r>
                              <w:rPr>
                                <w:rFonts w:hint="eastAsia" w:ascii="Times New Roman" w:hAnsi="Times New Roman" w:eastAsia="仿宋" w:cs="Times New Roman"/>
                                <w:kern w:val="2"/>
                                <w:sz w:val="26"/>
                                <w:szCs w:val="26"/>
                              </w:rPr>
                              <w:t>撰写</w:t>
                            </w:r>
                            <w:r>
                              <w:rPr>
                                <w:rFonts w:ascii="Times New Roman" w:hAnsi="Times New Roman" w:eastAsia="仿宋" w:cs="Times New Roman"/>
                                <w:kern w:val="2"/>
                                <w:sz w:val="26"/>
                                <w:szCs w:val="26"/>
                              </w:rPr>
                              <w:t>各种形式的研究论文</w:t>
                            </w:r>
                            <w:r>
                              <w:rPr>
                                <w:rFonts w:hint="eastAsia" w:ascii="Times New Roman" w:hAnsi="Times New Roman" w:eastAsia="仿宋" w:cs="Times New Roman"/>
                                <w:kern w:val="2"/>
                                <w:sz w:val="26"/>
                                <w:szCs w:val="26"/>
                              </w:rPr>
                              <w:t>上，</w:t>
                            </w:r>
                            <w:r>
                              <w:rPr>
                                <w:rFonts w:ascii="Times New Roman" w:hAnsi="Times New Roman" w:eastAsia="仿宋" w:cs="Times New Roman"/>
                                <w:kern w:val="2"/>
                                <w:sz w:val="26"/>
                                <w:szCs w:val="26"/>
                              </w:rPr>
                              <w:t>对学生进行培训。临床医学的主干课程将在第三学年的下学期和第四年进行，第五年临床实习。</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此外，学生还要求掌握精准医学科学的基础知识，结合所学临床医学知识和临床实践，熟知精准医学的诊断技术，为病人提供诊断方案并解读诊断结果，为病人制定个性化的精准治疗方案；学生能够了解精准医学的前沿动态和发展方向。学生毕业</w:t>
                            </w:r>
                            <w:r>
                              <w:rPr>
                                <w:rFonts w:hint="eastAsia" w:ascii="Times New Roman" w:hAnsi="Times New Roman" w:eastAsia="仿宋" w:cs="Times New Roman"/>
                                <w:kern w:val="2"/>
                                <w:sz w:val="26"/>
                                <w:szCs w:val="26"/>
                              </w:rPr>
                              <w:t>时</w:t>
                            </w:r>
                            <w:r>
                              <w:rPr>
                                <w:rFonts w:ascii="Times New Roman" w:hAnsi="Times New Roman" w:eastAsia="仿宋" w:cs="Times New Roman"/>
                                <w:kern w:val="2"/>
                                <w:sz w:val="26"/>
                                <w:szCs w:val="26"/>
                              </w:rPr>
                              <w:t>将获得两个学位：伦敦玛丽女王大学授予（精准医学）科学学士学位和南昌大学授予的临床医学学士学位。据我们所知，到目前为止，该项目为国内外首个临床医学和精准医学科学相结合的项目，以</w:t>
                            </w:r>
                            <w:r>
                              <w:rPr>
                                <w:rFonts w:hint="eastAsia" w:ascii="Times New Roman" w:hAnsi="Times New Roman" w:eastAsia="仿宋" w:cs="Times New Roman"/>
                                <w:kern w:val="2"/>
                                <w:sz w:val="26"/>
                                <w:szCs w:val="26"/>
                              </w:rPr>
                              <w:t>迎接</w:t>
                            </w:r>
                            <w:r>
                              <w:rPr>
                                <w:rFonts w:ascii="Times New Roman" w:hAnsi="Times New Roman" w:eastAsia="仿宋" w:cs="Times New Roman"/>
                                <w:kern w:val="2"/>
                                <w:sz w:val="26"/>
                                <w:szCs w:val="26"/>
                              </w:rPr>
                              <w:t>即将兴起的交叉领域为目标，学生有着广阔的发展前景。</w:t>
                            </w:r>
                          </w:p>
                          <w:p>
                            <w:pPr>
                              <w:widowControl w:val="0"/>
                              <w:spacing w:after="0" w:line="400" w:lineRule="exact"/>
                              <w:contextualSpacing/>
                              <w:jc w:val="both"/>
                              <w:rPr>
                                <w:rFonts w:ascii="Times New Roman" w:hAnsi="Times New Roman" w:eastAsia="仿宋" w:cs="Times New Roman"/>
                                <w:b/>
                                <w:bCs/>
                                <w:kern w:val="2"/>
                                <w:sz w:val="26"/>
                                <w:szCs w:val="26"/>
                              </w:rPr>
                            </w:pPr>
                            <w:r>
                              <w:rPr>
                                <w:rFonts w:ascii="Times New Roman" w:hAnsi="Times New Roman" w:eastAsia="仿宋" w:cs="Times New Roman"/>
                                <w:b/>
                                <w:bCs/>
                                <w:kern w:val="2"/>
                                <w:sz w:val="26"/>
                                <w:szCs w:val="26"/>
                              </w:rPr>
                              <w:t>办学条件：</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南昌大学是国家“211工程”重点建设高校，是世界一流学科建设高校，是教育部与江西省部省合建高校，是江西省高水平大学整体建设高校。其临床医学学科进入ESI世界排名前5‰，学校有“双聘”院士、国家“973”计划首席科学家等一批高层次名师，是教育部本科教学工作水平评估优秀高校、国家首批大学生创新性试验计划项目学校、教育部第一批“卓越工程师”和“卓越医生”教育培养计划项目试点学校。学校拥有12个学科门类100多个本科专业，3个国家重点（培育）学科，9个国家临床重点专科，15个博士学位授权一级学科，46各硕士学位授权一级学科，1个专业博士学位授权和23个专业硕士授权，11个博士后科研流动站。</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南昌大学临床医学本科专业是我校传统优势专业，也是江西省高校本科品牌专业之一。医学院具有悠久的医学教育历史，在国内外久负盛名，培养了一大批蜚声国内外的临床医学家和医学科学家。</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伦敦玛丽女王大学是世界著名研究密集型大学，英国常春藤名校联盟“罗素大学集团”成员，在QS最新世界排名位列119名，自建校以来，共有9位校友获得诺贝尔奖。该校拥有世界著名的医学院与牙科学院—巴兹与伦敦学院，在全英国名列第二。玛丽女王大学先后与北京邮电大学、南昌大学、西北工业大学成功举办了不同专业领域的本科生合作办学。该大学在精准医学领域处于世界前沿，其基因组学中心负责建立的全英国基因序列文库，对人类基因与重大疾病关联的研究具有重要意义，并将对人类重大疾病的精准医疗和精准医学研究作出重大贡献。南昌大学与伦敦玛丽女王大学已签订建立“生物医学和精准医学联合研究院”的备忘录，两校之间将建立以科研为导向的教育合作。</w:t>
                            </w:r>
                          </w:p>
                          <w:p>
                            <w:pPr>
                              <w:widowControl w:val="0"/>
                              <w:spacing w:after="0" w:line="400" w:lineRule="exact"/>
                              <w:ind w:firstLine="520" w:firstLineChars="200"/>
                              <w:contextualSpacing/>
                              <w:jc w:val="both"/>
                              <w:rPr>
                                <w:rFonts w:ascii="仿宋" w:hAnsi="仿宋" w:eastAsia="仿宋" w:cs="仿宋"/>
                                <w:sz w:val="26"/>
                                <w:szCs w:val="26"/>
                              </w:rPr>
                            </w:pPr>
                            <w:r>
                              <w:rPr>
                                <w:rFonts w:ascii="Times New Roman" w:hAnsi="Times New Roman" w:eastAsia="仿宋" w:cs="Times New Roman"/>
                                <w:kern w:val="2"/>
                                <w:sz w:val="26"/>
                                <w:szCs w:val="26"/>
                              </w:rPr>
                              <w:t>我校综合性大学丰富的资源优势以及与伦敦玛丽女王大学成功合作办学的经验足以为临床医学和精准医学科学联合培养项目的教学提供保障，通过该项目，我们将引进国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pt;margin-top:0.6pt;height:729.4pt;width:518.95pt;mso-wrap-distance-left:9pt;mso-wrap-distance-right:9pt;z-index:-251658240;mso-width-relative:page;mso-height-relative:page;" fillcolor="#FFFFFF [3201]" filled="t" stroked="t" coordsize="21600,21600" wrapcoords="-15 -12 -15 21576 21525 21576 21525 -12 -15 -12" o:gfxdata="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vbySc0wAAAAkBAAAPAAAAAAAAAAEAIAAA&#10;ACIAAABkcnMvZG93bnJldi54bWxQSwECFAAUAAAACACHTuJAMFK+PEoCAAB0BAAADgAAAAAAAAAB&#10;ACAAAAAiAQAAZHJzL2Uyb0RvYy54bWxQSwUGAAAAAAYABgBZAQAA3gUAAAAA&#10;">
                <v:fill on="t" focussize="0,0"/>
                <v:stroke weight="0.5pt" color="#000000 [3204]" joinstyle="round"/>
                <v:imagedata o:title=""/>
                <o:lock v:ext="edit" aspectratio="f"/>
                <v:textbox>
                  <w:txbxContent>
                    <w:p>
                      <w:pPr>
                        <w:widowControl w:val="0"/>
                        <w:spacing w:after="0" w:line="400" w:lineRule="exact"/>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综合问题的能力。通过五年的学习，学生将与普通临床医学生一样，掌握临床医学的基本知识和操作技能。在临床前期的课程将按照我国临床医学生的培养方案实施，即讲授基础医学主干课程，将融入精准医学科学的基本课程作为拓展课程，如：诊断和个性化医学技术、基因组学、生物信息学、模型化和临床试验、大数据分析和处理、纳米医学、精准医学研究课题等。大三亦将为学生提供科研的机会，在科学研究方法和</w:t>
                      </w:r>
                      <w:r>
                        <w:rPr>
                          <w:rFonts w:hint="eastAsia" w:ascii="Times New Roman" w:hAnsi="Times New Roman" w:eastAsia="仿宋" w:cs="Times New Roman"/>
                          <w:kern w:val="2"/>
                          <w:sz w:val="26"/>
                          <w:szCs w:val="26"/>
                        </w:rPr>
                        <w:t>撰写</w:t>
                      </w:r>
                      <w:r>
                        <w:rPr>
                          <w:rFonts w:ascii="Times New Roman" w:hAnsi="Times New Roman" w:eastAsia="仿宋" w:cs="Times New Roman"/>
                          <w:kern w:val="2"/>
                          <w:sz w:val="26"/>
                          <w:szCs w:val="26"/>
                        </w:rPr>
                        <w:t>各种形式的研究论文</w:t>
                      </w:r>
                      <w:r>
                        <w:rPr>
                          <w:rFonts w:hint="eastAsia" w:ascii="Times New Roman" w:hAnsi="Times New Roman" w:eastAsia="仿宋" w:cs="Times New Roman"/>
                          <w:kern w:val="2"/>
                          <w:sz w:val="26"/>
                          <w:szCs w:val="26"/>
                        </w:rPr>
                        <w:t>上，</w:t>
                      </w:r>
                      <w:r>
                        <w:rPr>
                          <w:rFonts w:ascii="Times New Roman" w:hAnsi="Times New Roman" w:eastAsia="仿宋" w:cs="Times New Roman"/>
                          <w:kern w:val="2"/>
                          <w:sz w:val="26"/>
                          <w:szCs w:val="26"/>
                        </w:rPr>
                        <w:t>对学生进行培训。临床医学的主干课程将在第三学年的下学期和第四年进行，第五年临床实习。</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此外，学生还要求掌握精准医学科学的基础知识，结合所学临床医学知识和临床实践，熟知精准医学的诊断技术，为病人提供诊断方案并解读诊断结果，为病人制定个性化的精准治疗方案；学生能够了解精准医学的前沿动态和发展方向。学生毕业</w:t>
                      </w:r>
                      <w:r>
                        <w:rPr>
                          <w:rFonts w:hint="eastAsia" w:ascii="Times New Roman" w:hAnsi="Times New Roman" w:eastAsia="仿宋" w:cs="Times New Roman"/>
                          <w:kern w:val="2"/>
                          <w:sz w:val="26"/>
                          <w:szCs w:val="26"/>
                        </w:rPr>
                        <w:t>时</w:t>
                      </w:r>
                      <w:r>
                        <w:rPr>
                          <w:rFonts w:ascii="Times New Roman" w:hAnsi="Times New Roman" w:eastAsia="仿宋" w:cs="Times New Roman"/>
                          <w:kern w:val="2"/>
                          <w:sz w:val="26"/>
                          <w:szCs w:val="26"/>
                        </w:rPr>
                        <w:t>将获得两个学位：伦敦玛丽女王大学授予（精准医学）科学学士学位和南昌大学授予的临床医学学士学位。据我们所知，到目前为止，该项目为国内外首个临床医学和精准医学科学相结合的项目，以</w:t>
                      </w:r>
                      <w:r>
                        <w:rPr>
                          <w:rFonts w:hint="eastAsia" w:ascii="Times New Roman" w:hAnsi="Times New Roman" w:eastAsia="仿宋" w:cs="Times New Roman"/>
                          <w:kern w:val="2"/>
                          <w:sz w:val="26"/>
                          <w:szCs w:val="26"/>
                        </w:rPr>
                        <w:t>迎接</w:t>
                      </w:r>
                      <w:r>
                        <w:rPr>
                          <w:rFonts w:ascii="Times New Roman" w:hAnsi="Times New Roman" w:eastAsia="仿宋" w:cs="Times New Roman"/>
                          <w:kern w:val="2"/>
                          <w:sz w:val="26"/>
                          <w:szCs w:val="26"/>
                        </w:rPr>
                        <w:t>即将兴起的交叉领域为目标，学生有着广阔的发展前景。</w:t>
                      </w:r>
                    </w:p>
                    <w:p>
                      <w:pPr>
                        <w:widowControl w:val="0"/>
                        <w:spacing w:after="0" w:line="400" w:lineRule="exact"/>
                        <w:contextualSpacing/>
                        <w:jc w:val="both"/>
                        <w:rPr>
                          <w:rFonts w:ascii="Times New Roman" w:hAnsi="Times New Roman" w:eastAsia="仿宋" w:cs="Times New Roman"/>
                          <w:b/>
                          <w:bCs/>
                          <w:kern w:val="2"/>
                          <w:sz w:val="26"/>
                          <w:szCs w:val="26"/>
                        </w:rPr>
                      </w:pPr>
                      <w:r>
                        <w:rPr>
                          <w:rFonts w:ascii="Times New Roman" w:hAnsi="Times New Roman" w:eastAsia="仿宋" w:cs="Times New Roman"/>
                          <w:b/>
                          <w:bCs/>
                          <w:kern w:val="2"/>
                          <w:sz w:val="26"/>
                          <w:szCs w:val="26"/>
                        </w:rPr>
                        <w:t>办学条件：</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南昌大学是国家“211工程”重点建设高校，是世界一流学科建设高校，是教育部与江西省部省合建高校，是江西省高水平大学整体建设高校。其临床医学学科进入ESI世界排名前5‰，学校有“双聘”院士、国家“973”计划首席科学家等一批高层次名师，是教育部本科教学工作水平评估优秀高校、国家首批大学生创新性试验计划项目学校、教育部第一批“卓越工程师”和“卓越医生”教育培养计划项目试点学校。学校拥有12个学科门类100多个本科专业，3个国家重点（培育）学科，9个国家临床重点专科，15个博士学位授权一级学科，46各硕士学位授权一级学科，1个专业博士学位授权和23个专业硕士授权，11个博士后科研流动站。</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南昌大学临床医学本科专业是我校传统优势专业，也是江西省高校本科品牌专业之一。医学院具有悠久的医学教育历史，在国内外久负盛名，培养了一大批蜚声国内外的临床医学家和医学科学家。</w:t>
                      </w:r>
                    </w:p>
                    <w:p>
                      <w:pPr>
                        <w:widowControl w:val="0"/>
                        <w:spacing w:after="0" w:line="400" w:lineRule="exact"/>
                        <w:ind w:firstLine="520" w:firstLineChars="200"/>
                        <w:contextualSpacing/>
                        <w:jc w:val="both"/>
                        <w:rPr>
                          <w:rFonts w:ascii="Times New Roman" w:hAnsi="Times New Roman" w:eastAsia="仿宋" w:cs="Times New Roman"/>
                          <w:kern w:val="2"/>
                          <w:sz w:val="26"/>
                          <w:szCs w:val="26"/>
                        </w:rPr>
                      </w:pPr>
                      <w:r>
                        <w:rPr>
                          <w:rFonts w:ascii="Times New Roman" w:hAnsi="Times New Roman" w:eastAsia="仿宋" w:cs="Times New Roman"/>
                          <w:kern w:val="2"/>
                          <w:sz w:val="26"/>
                          <w:szCs w:val="26"/>
                        </w:rPr>
                        <w:t>伦敦玛丽女王大学是世界著名研究密集型大学，英国常春藤名校联盟“罗素大学集团”成员，在QS最新世界排名位列119名，自建校以来，共有9位校友获得诺贝尔奖。该校拥有世界著名的医学院与牙科学院—巴兹与伦敦学院，在全英国名列第二。玛丽女王大学先后与北京邮电大学、南昌大学、西北工业大学成功举办了不同专业领域的本科生合作办学。该大学在精准医学领域处于世界前沿，其基因组学中心负责建立的全英国基因序列文库，对人类基因与重大疾病关联的研究具有重要意义，并将对人类重大疾病的精准医疗和精准医学研究作出重大贡献。南昌大学与伦敦玛丽女王大学已签订建立“生物医学和精准医学联合研究院”的备忘录，两校之间将建立以科研为导向的教育合作。</w:t>
                      </w:r>
                    </w:p>
                    <w:p>
                      <w:pPr>
                        <w:widowControl w:val="0"/>
                        <w:spacing w:after="0" w:line="400" w:lineRule="exact"/>
                        <w:ind w:firstLine="520" w:firstLineChars="200"/>
                        <w:contextualSpacing/>
                        <w:jc w:val="both"/>
                        <w:rPr>
                          <w:rFonts w:ascii="仿宋" w:hAnsi="仿宋" w:eastAsia="仿宋" w:cs="仿宋"/>
                          <w:sz w:val="26"/>
                          <w:szCs w:val="26"/>
                        </w:rPr>
                      </w:pPr>
                      <w:r>
                        <w:rPr>
                          <w:rFonts w:ascii="Times New Roman" w:hAnsi="Times New Roman" w:eastAsia="仿宋" w:cs="Times New Roman"/>
                          <w:kern w:val="2"/>
                          <w:sz w:val="26"/>
                          <w:szCs w:val="26"/>
                        </w:rPr>
                        <w:t>我校综合性大学丰富的资源优势以及与伦敦玛丽女王大学成功合作办学的经验足以为临床医学和精准医学科学联合培养项目的教学提供保障，通过该项目，我们将引进国</w:t>
                      </w:r>
                    </w:p>
                  </w:txbxContent>
                </v:textbox>
                <w10:wrap type="tight"/>
              </v:shape>
            </w:pict>
          </mc:Fallback>
        </mc:AlternateContent>
      </w:r>
      <w:r>
        <w:br w:type="page"/>
      </w:r>
    </w:p>
    <w:p>
      <w:r>
        <w:br w:type="page"/>
      </w:r>
      <w: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10795</wp:posOffset>
                </wp:positionV>
                <wp:extent cx="6590665" cy="9092565"/>
                <wp:effectExtent l="5080" t="5080" r="14605" b="8255"/>
                <wp:wrapNone/>
                <wp:docPr id="2" name="文本框 2"/>
                <wp:cNvGraphicFramePr/>
                <a:graphic xmlns:a="http://schemas.openxmlformats.org/drawingml/2006/main">
                  <a:graphicData uri="http://schemas.microsoft.com/office/word/2010/wordprocessingShape">
                    <wps:wsp>
                      <wps:cNvSpPr txBox="1"/>
                      <wps:spPr>
                        <a:xfrm>
                          <a:off x="0" y="0"/>
                          <a:ext cx="6590665" cy="90925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widowControl w:val="0"/>
                              <w:spacing w:after="0" w:line="400" w:lineRule="exact"/>
                              <w:contextualSpacing/>
                              <w:jc w:val="both"/>
                              <w:rPr>
                                <w:rFonts w:ascii="仿宋" w:hAnsi="仿宋" w:eastAsia="仿宋" w:cs="Times New Roman"/>
                                <w:kern w:val="2"/>
                                <w:sz w:val="26"/>
                                <w:szCs w:val="26"/>
                              </w:rPr>
                            </w:pPr>
                            <w:r>
                              <w:rPr>
                                <w:rFonts w:ascii="Times New Roman" w:hAnsi="Times New Roman" w:eastAsia="仿宋" w:cs="Times New Roman"/>
                                <w:kern w:val="2"/>
                                <w:sz w:val="26"/>
                                <w:szCs w:val="26"/>
                              </w:rPr>
                              <w:t>外教育和科研的先进理念、经验和资源，使我校的国际化办学上迈</w:t>
                            </w:r>
                            <w:r>
                              <w:rPr>
                                <w:rFonts w:hint="eastAsia" w:ascii="Times New Roman" w:hAnsi="Times New Roman" w:eastAsia="仿宋" w:cs="Times New Roman"/>
                                <w:kern w:val="2"/>
                                <w:sz w:val="26"/>
                                <w:szCs w:val="26"/>
                              </w:rPr>
                              <w:t>向</w:t>
                            </w:r>
                            <w:r>
                              <w:rPr>
                                <w:rFonts w:ascii="Times New Roman" w:hAnsi="Times New Roman" w:eastAsia="仿宋" w:cs="Times New Roman"/>
                                <w:kern w:val="2"/>
                                <w:sz w:val="26"/>
                                <w:szCs w:val="26"/>
                              </w:rPr>
                              <w:t>新的台阶，为“双一流”大学建设奠定基石。</w:t>
                            </w:r>
                          </w:p>
                          <w:p>
                            <w:pPr>
                              <w:widowControl w:val="0"/>
                              <w:spacing w:after="0" w:line="400" w:lineRule="exact"/>
                              <w:ind w:firstLine="520" w:firstLineChars="200"/>
                              <w:contextualSpacing/>
                              <w:jc w:val="both"/>
                              <w:rPr>
                                <w:rFonts w:ascii="仿宋" w:hAnsi="仿宋" w:eastAsia="仿宋" w:cs="Times New Roman"/>
                                <w:kern w:val="2"/>
                                <w:sz w:val="26"/>
                                <w:szCs w:val="26"/>
                              </w:rPr>
                            </w:pPr>
                            <w:r>
                              <w:rPr>
                                <w:rFonts w:hint="eastAsia" w:ascii="仿宋" w:hAnsi="仿宋" w:eastAsia="仿宋" w:cs="Times New Roman"/>
                                <w:kern w:val="2"/>
                                <w:sz w:val="26"/>
                                <w:szCs w:val="26"/>
                              </w:rPr>
                              <w:t>临床医学与精准医学中英联合办学项目是将学科交叉融合，为精准医学、转化医学、智能医学等“新医科”发展提供人才支撑，深入推进医教协同、科教合一，服务健康中国建设，符合教育部与国家卫生健康委员会和有关地方政府共建一批高水平医学院和附属医院的战略计划。</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pt;margin-top:0.85pt;height:715.95pt;width:518.95pt;z-index:251659264;mso-width-relative:page;mso-height-relative:page;" fillcolor="#FFFFFF [3201]" filled="t" stroked="t" coordsize="21600,21600" o:gfxdata="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GtNJ1QAAAAkBAAAPAAAAAAAAAAEAIAAAACIAAABkcnMvZG93&#10;bnJldi54bWxQSwECFAAUAAAACACHTuJA3IUisjwCAABqBAAADgAAAAAAAAABACAAAAAkAQAAZHJz&#10;L2Uyb0RvYy54bWxQSwUGAAAAAAYABgBZAQAA0gUAAAAA&#10;">
                <v:fill on="t" focussize="0,0"/>
                <v:stroke weight="0.5pt" color="#000000 [3204]" joinstyle="round"/>
                <v:imagedata o:title=""/>
                <o:lock v:ext="edit" aspectratio="f"/>
                <v:textbox>
                  <w:txbxContent>
                    <w:p>
                      <w:pPr>
                        <w:widowControl w:val="0"/>
                        <w:spacing w:after="0" w:line="400" w:lineRule="exact"/>
                        <w:contextualSpacing/>
                        <w:jc w:val="both"/>
                        <w:rPr>
                          <w:rFonts w:ascii="仿宋" w:hAnsi="仿宋" w:eastAsia="仿宋" w:cs="Times New Roman"/>
                          <w:kern w:val="2"/>
                          <w:sz w:val="26"/>
                          <w:szCs w:val="26"/>
                        </w:rPr>
                      </w:pPr>
                      <w:r>
                        <w:rPr>
                          <w:rFonts w:ascii="Times New Roman" w:hAnsi="Times New Roman" w:eastAsia="仿宋" w:cs="Times New Roman"/>
                          <w:kern w:val="2"/>
                          <w:sz w:val="26"/>
                          <w:szCs w:val="26"/>
                        </w:rPr>
                        <w:t>外教育和科研的先进理念、经验和资源，使我校的国际化办学上迈</w:t>
                      </w:r>
                      <w:r>
                        <w:rPr>
                          <w:rFonts w:hint="eastAsia" w:ascii="Times New Roman" w:hAnsi="Times New Roman" w:eastAsia="仿宋" w:cs="Times New Roman"/>
                          <w:kern w:val="2"/>
                          <w:sz w:val="26"/>
                          <w:szCs w:val="26"/>
                        </w:rPr>
                        <w:t>向</w:t>
                      </w:r>
                      <w:r>
                        <w:rPr>
                          <w:rFonts w:ascii="Times New Roman" w:hAnsi="Times New Roman" w:eastAsia="仿宋" w:cs="Times New Roman"/>
                          <w:kern w:val="2"/>
                          <w:sz w:val="26"/>
                          <w:szCs w:val="26"/>
                        </w:rPr>
                        <w:t>新的台阶，为“双一流”大学建设奠定基石。</w:t>
                      </w:r>
                    </w:p>
                    <w:p>
                      <w:pPr>
                        <w:widowControl w:val="0"/>
                        <w:spacing w:after="0" w:line="400" w:lineRule="exact"/>
                        <w:ind w:firstLine="520" w:firstLineChars="200"/>
                        <w:contextualSpacing/>
                        <w:jc w:val="both"/>
                        <w:rPr>
                          <w:rFonts w:ascii="仿宋" w:hAnsi="仿宋" w:eastAsia="仿宋" w:cs="Times New Roman"/>
                          <w:kern w:val="2"/>
                          <w:sz w:val="26"/>
                          <w:szCs w:val="26"/>
                        </w:rPr>
                      </w:pPr>
                      <w:r>
                        <w:rPr>
                          <w:rFonts w:hint="eastAsia" w:ascii="仿宋" w:hAnsi="仿宋" w:eastAsia="仿宋" w:cs="Times New Roman"/>
                          <w:kern w:val="2"/>
                          <w:sz w:val="26"/>
                          <w:szCs w:val="26"/>
                        </w:rPr>
                        <w:t>临床医学与精准医学中英联合办学项目是将学科交叉融合，为精准医学、转化医学、智能医学等“新医科”发展提供人才支撑，深入推进医教协同、科教合一，服务健康中国建设，符合教育部与国家卫生健康委员会和有关地方政府共建一批高水平医学院和附属医院的战略计划。</w:t>
                      </w:r>
                    </w:p>
                    <w:p/>
                  </w:txbxContent>
                </v:textbox>
              </v:shape>
            </w:pict>
          </mc:Fallback>
        </mc:AlternateContent>
      </w:r>
    </w:p>
    <w:p>
      <w:pPr>
        <w:pStyle w:val="3"/>
        <w:ind w:left="0" w:right="0" w:firstLine="0"/>
        <w:jc w:val="center"/>
      </w:pPr>
      <w:r>
        <w:t>8.申请增设专业人才培养方案</w:t>
      </w:r>
    </w:p>
    <w:p>
      <w:pPr>
        <w:spacing w:after="24"/>
        <w:ind w:left="77"/>
        <w:rPr>
          <w:rFonts w:ascii="微软雅黑" w:hAnsi="微软雅黑" w:eastAsia="微软雅黑" w:cs="微软雅黑"/>
          <w:sz w:val="18"/>
          <w:szCs w:val="16"/>
        </w:rPr>
      </w:pPr>
      <w:r>
        <mc:AlternateContent>
          <mc:Choice Requires="wps">
            <w:drawing>
              <wp:anchor distT="0" distB="0" distL="114300" distR="114300" simplePos="0" relativeHeight="251658240" behindDoc="0" locked="0" layoutInCell="1" allowOverlap="1">
                <wp:simplePos x="0" y="0"/>
                <wp:positionH relativeFrom="column">
                  <wp:posOffset>70485</wp:posOffset>
                </wp:positionH>
                <wp:positionV relativeFrom="paragraph">
                  <wp:posOffset>400685</wp:posOffset>
                </wp:positionV>
                <wp:extent cx="6580505" cy="8543925"/>
                <wp:effectExtent l="4445" t="5080" r="6350" b="4445"/>
                <wp:wrapNone/>
                <wp:docPr id="5" name="文本框 5"/>
                <wp:cNvGraphicFramePr/>
                <a:graphic xmlns:a="http://schemas.openxmlformats.org/drawingml/2006/main">
                  <a:graphicData uri="http://schemas.microsoft.com/office/word/2010/wordprocessingShape">
                    <wps:wsp>
                      <wps:cNvSpPr txBox="1"/>
                      <wps:spPr>
                        <a:xfrm>
                          <a:off x="0" y="0"/>
                          <a:ext cx="6580505" cy="85439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widowControl w:val="0"/>
                              <w:spacing w:after="0" w:line="400" w:lineRule="exact"/>
                              <w:contextualSpacing/>
                              <w:jc w:val="center"/>
                              <w:rPr>
                                <w:rFonts w:ascii="仿宋" w:hAnsi="仿宋" w:eastAsia="仿宋" w:cs="仿宋"/>
                                <w:b/>
                                <w:bCs/>
                                <w:sz w:val="26"/>
                                <w:szCs w:val="26"/>
                              </w:rPr>
                            </w:pPr>
                            <w:r>
                              <w:rPr>
                                <w:rStyle w:val="18"/>
                                <w:rFonts w:hint="default"/>
                                <w:sz w:val="28"/>
                                <w:szCs w:val="28"/>
                                <w:lang w:bidi="ar"/>
                              </w:rPr>
                              <w:t>临床医学专业培养方案</w:t>
                            </w:r>
                          </w:p>
                          <w:p>
                            <w:pPr>
                              <w:spacing w:line="400" w:lineRule="exact"/>
                              <w:jc w:val="center"/>
                              <w:rPr>
                                <w:rFonts w:ascii="仿宋" w:hAnsi="仿宋" w:eastAsia="仿宋" w:cs="仿宋"/>
                                <w:b/>
                                <w:bCs/>
                                <w:sz w:val="26"/>
                                <w:szCs w:val="26"/>
                              </w:rPr>
                            </w:pPr>
                            <w:r>
                              <w:rPr>
                                <w:rFonts w:hint="eastAsia" w:ascii="仿宋" w:hAnsi="仿宋" w:eastAsia="仿宋" w:cs="仿宋"/>
                                <w:b/>
                                <w:bCs/>
                                <w:sz w:val="26"/>
                                <w:szCs w:val="26"/>
                              </w:rPr>
                              <w:t>一、培养目标</w:t>
                            </w:r>
                          </w:p>
                          <w:p>
                            <w:pPr>
                              <w:spacing w:line="400" w:lineRule="exact"/>
                              <w:ind w:firstLine="480"/>
                              <w:jc w:val="both"/>
                              <w:rPr>
                                <w:rFonts w:ascii="仿宋" w:hAnsi="仿宋" w:eastAsia="仿宋" w:cs="仿宋"/>
                                <w:sz w:val="26"/>
                                <w:szCs w:val="26"/>
                              </w:rPr>
                            </w:pPr>
                            <w:r>
                              <w:rPr>
                                <w:rFonts w:hint="eastAsia" w:ascii="仿宋" w:hAnsi="仿宋" w:eastAsia="仿宋" w:cs="仿宋"/>
                                <w:sz w:val="26"/>
                                <w:szCs w:val="26"/>
                              </w:rPr>
                              <w:t>本项目的目标是培养高尚的医德境界、医德素质、医德情感的新型医疗和医学科学高素质人才。使学生树立科学的世界观和人生观，热爱祖国，忠于人民，愿为祖国卫生事业的发展和人类身心健康奋斗终生；使学生适应国际化竞争环境，掌握临床医学与精准医学的基础理论和实践操作技能，认识疾病的病因、发病机制和转归的个体差异，对患者实施量身定制的精准医疗措施。</w:t>
                            </w:r>
                          </w:p>
                          <w:p>
                            <w:pPr>
                              <w:numPr>
                                <w:ilvl w:val="0"/>
                                <w:numId w:val="5"/>
                              </w:numPr>
                              <w:spacing w:line="400" w:lineRule="exact"/>
                              <w:jc w:val="center"/>
                              <w:rPr>
                                <w:rFonts w:ascii="仿宋" w:hAnsi="仿宋" w:eastAsia="仿宋" w:cs="仿宋"/>
                                <w:b/>
                                <w:bCs/>
                                <w:sz w:val="26"/>
                                <w:szCs w:val="26"/>
                              </w:rPr>
                            </w:pPr>
                            <w:r>
                              <w:rPr>
                                <w:rFonts w:hint="eastAsia" w:ascii="仿宋" w:hAnsi="仿宋" w:eastAsia="仿宋" w:cs="仿宋"/>
                                <w:b/>
                                <w:bCs/>
                                <w:sz w:val="26"/>
                                <w:szCs w:val="26"/>
                              </w:rPr>
                              <w:t>基本要求</w:t>
                            </w:r>
                          </w:p>
                          <w:p>
                            <w:pPr>
                              <w:spacing w:line="400" w:lineRule="exact"/>
                              <w:ind w:firstLine="480"/>
                              <w:jc w:val="both"/>
                              <w:rPr>
                                <w:rFonts w:ascii="仿宋" w:hAnsi="仿宋" w:eastAsia="仿宋" w:cs="仿宋"/>
                                <w:b/>
                                <w:bCs/>
                                <w:sz w:val="26"/>
                                <w:szCs w:val="26"/>
                              </w:rPr>
                            </w:pPr>
                            <w:r>
                              <w:rPr>
                                <w:rFonts w:hint="eastAsia" w:ascii="仿宋" w:hAnsi="仿宋" w:eastAsia="仿宋" w:cs="仿宋"/>
                                <w:sz w:val="26"/>
                                <w:szCs w:val="26"/>
                              </w:rPr>
                              <w:t>精准医学从病人的临床症状和体征入手，采用基因及相关分子诊断技术，通过生物信息学整合患者临床电子病历资料，对患者实施量身定制的健康医疗和临床决策。因此，作为临床医学教育，要求学生掌握临床医学的基本理论知识；掌握人类疾病病因、病理分类、鉴别的基本理论知识和技术；掌握常见病、多发病诊断处理的临床基本技能；具有对急、难、重症的初步处理能力；初步掌握预防医学基本理论知识；熟悉国家卫生工作方针、政策和法规。作为精准医学教育，要求学生掌握精准医学的目的、意义、内容和适用范围；掌握基因组技术和现代分子诊断技术、影像技术的基本知识，学习如何生物信息学，整合和应用分子诊断资料，制定个性化的健康医疗计划；掌握文献检索、资料调查的基本方法，具有初步的科学研究能力和一定的实际工作能力</w:t>
                            </w:r>
                            <w:r>
                              <w:rPr>
                                <w:rFonts w:hint="eastAsia" w:ascii="仿宋" w:hAnsi="仿宋" w:eastAsia="仿宋" w:cs="仿宋"/>
                                <w:b/>
                                <w:bCs/>
                                <w:sz w:val="26"/>
                                <w:szCs w:val="26"/>
                              </w:rPr>
                              <w:t>。</w:t>
                            </w:r>
                          </w:p>
                          <w:p>
                            <w:pPr>
                              <w:spacing w:line="400" w:lineRule="exact"/>
                              <w:jc w:val="center"/>
                              <w:rPr>
                                <w:rFonts w:ascii="仿宋" w:hAnsi="仿宋" w:eastAsia="仿宋" w:cs="仿宋"/>
                                <w:b/>
                                <w:bCs/>
                                <w:sz w:val="26"/>
                                <w:szCs w:val="26"/>
                              </w:rPr>
                            </w:pPr>
                            <w:r>
                              <w:rPr>
                                <w:rFonts w:hint="eastAsia" w:ascii="仿宋" w:hAnsi="仿宋" w:eastAsia="仿宋" w:cs="仿宋"/>
                                <w:b/>
                                <w:bCs/>
                                <w:sz w:val="26"/>
                                <w:szCs w:val="26"/>
                              </w:rPr>
                              <w:t>三、标准学制、毕业最低学分、授予学位</w:t>
                            </w:r>
                          </w:p>
                          <w:p>
                            <w:pPr>
                              <w:spacing w:line="400" w:lineRule="exact"/>
                              <w:rPr>
                                <w:rFonts w:ascii="仿宋" w:hAnsi="仿宋" w:eastAsia="仿宋" w:cs="仿宋"/>
                                <w:sz w:val="26"/>
                                <w:szCs w:val="26"/>
                              </w:rPr>
                            </w:pPr>
                            <w:r>
                              <w:rPr>
                                <w:rFonts w:hint="eastAsia" w:ascii="仿宋" w:hAnsi="仿宋" w:eastAsia="仿宋" w:cs="仿宋"/>
                                <w:sz w:val="26"/>
                                <w:szCs w:val="26"/>
                              </w:rPr>
                              <w:t>标准学制：5年</w:t>
                            </w:r>
                          </w:p>
                          <w:p>
                            <w:pPr>
                              <w:spacing w:line="400" w:lineRule="exact"/>
                              <w:rPr>
                                <w:rFonts w:ascii="仿宋" w:hAnsi="仿宋" w:eastAsia="仿宋" w:cs="仿宋"/>
                                <w:sz w:val="26"/>
                                <w:szCs w:val="26"/>
                              </w:rPr>
                            </w:pPr>
                            <w:r>
                              <w:rPr>
                                <w:rFonts w:hint="eastAsia" w:ascii="仿宋" w:hAnsi="仿宋" w:eastAsia="仿宋" w:cs="仿宋"/>
                                <w:sz w:val="26"/>
                                <w:szCs w:val="26"/>
                              </w:rPr>
                              <w:t>毕业最低学分：255.5学分</w:t>
                            </w:r>
                          </w:p>
                          <w:p>
                            <w:pPr>
                              <w:spacing w:line="400" w:lineRule="exact"/>
                              <w:rPr>
                                <w:rFonts w:ascii="仿宋" w:hAnsi="仿宋" w:eastAsia="仿宋" w:cs="仿宋"/>
                                <w:sz w:val="26"/>
                                <w:szCs w:val="26"/>
                              </w:rPr>
                            </w:pPr>
                            <w:r>
                              <w:rPr>
                                <w:rFonts w:hint="eastAsia" w:ascii="仿宋" w:hAnsi="仿宋" w:eastAsia="仿宋" w:cs="仿宋"/>
                                <w:sz w:val="26"/>
                                <w:szCs w:val="26"/>
                              </w:rPr>
                              <w:t>授予学位：医学学士 （南昌大学授予）</w:t>
                            </w:r>
                          </w:p>
                          <w:p>
                            <w:pPr>
                              <w:spacing w:line="400" w:lineRule="exact"/>
                              <w:rPr>
                                <w:rFonts w:ascii="仿宋" w:hAnsi="仿宋" w:eastAsia="仿宋" w:cs="仿宋"/>
                                <w:sz w:val="26"/>
                                <w:szCs w:val="26"/>
                              </w:rPr>
                            </w:pPr>
                            <w:r>
                              <w:rPr>
                                <w:rFonts w:hint="eastAsia" w:ascii="仿宋" w:hAnsi="仿宋" w:eastAsia="仿宋" w:cs="仿宋"/>
                                <w:sz w:val="26"/>
                                <w:szCs w:val="26"/>
                              </w:rPr>
                              <w:t>精准医学科学学士（英国伦敦玛丽女王大学授予，合作项目后续申请）</w:t>
                            </w:r>
                          </w:p>
                          <w:p>
                            <w:pPr>
                              <w:spacing w:line="400" w:lineRule="exact"/>
                              <w:jc w:val="center"/>
                              <w:rPr>
                                <w:rFonts w:ascii="仿宋" w:hAnsi="仿宋" w:eastAsia="仿宋" w:cs="仿宋"/>
                                <w:b/>
                                <w:bCs/>
                                <w:sz w:val="26"/>
                                <w:szCs w:val="26"/>
                              </w:rPr>
                            </w:pPr>
                            <w:r>
                              <w:rPr>
                                <w:rFonts w:hint="eastAsia" w:ascii="仿宋" w:hAnsi="仿宋" w:eastAsia="仿宋" w:cs="仿宋"/>
                                <w:b/>
                                <w:bCs/>
                                <w:sz w:val="26"/>
                                <w:szCs w:val="26"/>
                              </w:rPr>
                              <w:t>四、课程体系</w:t>
                            </w:r>
                          </w:p>
                          <w:p>
                            <w:pPr>
                              <w:spacing w:line="400" w:lineRule="exact"/>
                              <w:ind w:firstLine="520" w:firstLineChars="200"/>
                              <w:rPr>
                                <w:rFonts w:ascii="仿宋" w:hAnsi="仿宋" w:eastAsia="仿宋" w:cs="仿宋"/>
                                <w:sz w:val="26"/>
                                <w:szCs w:val="26"/>
                              </w:rPr>
                            </w:pPr>
                            <w:r>
                              <w:rPr>
                                <w:rFonts w:hint="eastAsia" w:ascii="仿宋" w:hAnsi="仿宋" w:eastAsia="仿宋" w:cs="仿宋"/>
                                <w:sz w:val="26"/>
                                <w:szCs w:val="26"/>
                              </w:rPr>
                              <w:t>课程体系由I类通识课程、学科基础课程、专业主干课程组成。</w:t>
                            </w:r>
                          </w:p>
                          <w:p>
                            <w:pPr>
                              <w:spacing w:line="400" w:lineRule="exact"/>
                              <w:ind w:firstLine="520" w:firstLineChars="200"/>
                              <w:jc w:val="both"/>
                              <w:rPr>
                                <w:rFonts w:ascii="仿宋" w:hAnsi="仿宋" w:eastAsia="仿宋" w:cs="仿宋"/>
                                <w:sz w:val="26"/>
                                <w:szCs w:val="26"/>
                              </w:rPr>
                            </w:pPr>
                            <w:r>
                              <w:rPr>
                                <w:rFonts w:hint="eastAsia" w:ascii="仿宋" w:hAnsi="仿宋" w:eastAsia="仿宋" w:cs="仿宋"/>
                                <w:sz w:val="26"/>
                                <w:szCs w:val="26"/>
                              </w:rPr>
                              <w:t>主要课程：组织学与组织病理学、人体细胞学、生理学、基础医学遗传学 、染色体和基因功能、人体解剖学、生命生物分子、基因组和大数据在诊断和疾病中的应用、病理学、神经生物学基础 、癌症生物学 、医学影像学、诊断学、外科学、内科学、眼科学、神经病学、儿科学、妇产科学等。</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55pt;margin-top:31.55pt;height:672.75pt;width:518.15pt;z-index:251658240;mso-width-relative:page;mso-height-relative:page;" fillcolor="#FFFFFF [3201]" filled="t" stroked="t" coordsize="21600,21600" o:gfxdata="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&#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6Cdt3WAAAACwEAAA8AAAAAAAAAAQAgAAAAIgAAAGRy&#10;cy9kb3ducmV2LnhtbFBLAQIUABQAAAAIAIdO4kA+NX8wQAIAAGoEAAAOAAAAAAAAAAEAIAAAACUB&#10;AABkcnMvZTJvRG9jLnhtbFBLBQYAAAAABgAGAFkBAADXBQAAAAA=&#10;">
                <v:fill on="t" focussize="0,0"/>
                <v:stroke weight="0.5pt" color="#000000 [3204]" joinstyle="round"/>
                <v:imagedata o:title=""/>
                <o:lock v:ext="edit" aspectratio="f"/>
                <v:textbox>
                  <w:txbxContent>
                    <w:p>
                      <w:pPr>
                        <w:widowControl w:val="0"/>
                        <w:spacing w:after="0" w:line="400" w:lineRule="exact"/>
                        <w:contextualSpacing/>
                        <w:jc w:val="center"/>
                        <w:rPr>
                          <w:rFonts w:ascii="仿宋" w:hAnsi="仿宋" w:eastAsia="仿宋" w:cs="仿宋"/>
                          <w:b/>
                          <w:bCs/>
                          <w:sz w:val="26"/>
                          <w:szCs w:val="26"/>
                        </w:rPr>
                      </w:pPr>
                      <w:r>
                        <w:rPr>
                          <w:rStyle w:val="18"/>
                          <w:rFonts w:hint="default"/>
                          <w:sz w:val="28"/>
                          <w:szCs w:val="28"/>
                          <w:lang w:bidi="ar"/>
                        </w:rPr>
                        <w:t>临床医学专业培养方案</w:t>
                      </w:r>
                    </w:p>
                    <w:p>
                      <w:pPr>
                        <w:spacing w:line="400" w:lineRule="exact"/>
                        <w:jc w:val="center"/>
                        <w:rPr>
                          <w:rFonts w:ascii="仿宋" w:hAnsi="仿宋" w:eastAsia="仿宋" w:cs="仿宋"/>
                          <w:b/>
                          <w:bCs/>
                          <w:sz w:val="26"/>
                          <w:szCs w:val="26"/>
                        </w:rPr>
                      </w:pPr>
                      <w:r>
                        <w:rPr>
                          <w:rFonts w:hint="eastAsia" w:ascii="仿宋" w:hAnsi="仿宋" w:eastAsia="仿宋" w:cs="仿宋"/>
                          <w:b/>
                          <w:bCs/>
                          <w:sz w:val="26"/>
                          <w:szCs w:val="26"/>
                        </w:rPr>
                        <w:t>一、培养目标</w:t>
                      </w:r>
                    </w:p>
                    <w:p>
                      <w:pPr>
                        <w:spacing w:line="400" w:lineRule="exact"/>
                        <w:ind w:firstLine="480"/>
                        <w:jc w:val="both"/>
                        <w:rPr>
                          <w:rFonts w:ascii="仿宋" w:hAnsi="仿宋" w:eastAsia="仿宋" w:cs="仿宋"/>
                          <w:sz w:val="26"/>
                          <w:szCs w:val="26"/>
                        </w:rPr>
                      </w:pPr>
                      <w:r>
                        <w:rPr>
                          <w:rFonts w:hint="eastAsia" w:ascii="仿宋" w:hAnsi="仿宋" w:eastAsia="仿宋" w:cs="仿宋"/>
                          <w:sz w:val="26"/>
                          <w:szCs w:val="26"/>
                        </w:rPr>
                        <w:t>本项目的目标是培养高尚的医德境界、医德素质、医德情感的新型医疗和医学科学高素质人才。使学生树立科学的世界观和人生观，热爱祖国，忠于人民，愿为祖国卫生事业的发展和人类身心健康奋斗终生；使学生适应国际化竞争环境，掌握临床医学与精准医学的基础理论和实践操作技能，认识疾病的病因、发病机制和转归的个体差异，对患者实施量身定制的精准医疗措施。</w:t>
                      </w:r>
                    </w:p>
                    <w:p>
                      <w:pPr>
                        <w:numPr>
                          <w:ilvl w:val="0"/>
                          <w:numId w:val="5"/>
                        </w:numPr>
                        <w:spacing w:line="400" w:lineRule="exact"/>
                        <w:jc w:val="center"/>
                        <w:rPr>
                          <w:rFonts w:ascii="仿宋" w:hAnsi="仿宋" w:eastAsia="仿宋" w:cs="仿宋"/>
                          <w:b/>
                          <w:bCs/>
                          <w:sz w:val="26"/>
                          <w:szCs w:val="26"/>
                        </w:rPr>
                      </w:pPr>
                      <w:r>
                        <w:rPr>
                          <w:rFonts w:hint="eastAsia" w:ascii="仿宋" w:hAnsi="仿宋" w:eastAsia="仿宋" w:cs="仿宋"/>
                          <w:b/>
                          <w:bCs/>
                          <w:sz w:val="26"/>
                          <w:szCs w:val="26"/>
                        </w:rPr>
                        <w:t>基本要求</w:t>
                      </w:r>
                    </w:p>
                    <w:p>
                      <w:pPr>
                        <w:spacing w:line="400" w:lineRule="exact"/>
                        <w:ind w:firstLine="480"/>
                        <w:jc w:val="both"/>
                        <w:rPr>
                          <w:rFonts w:ascii="仿宋" w:hAnsi="仿宋" w:eastAsia="仿宋" w:cs="仿宋"/>
                          <w:b/>
                          <w:bCs/>
                          <w:sz w:val="26"/>
                          <w:szCs w:val="26"/>
                        </w:rPr>
                      </w:pPr>
                      <w:r>
                        <w:rPr>
                          <w:rFonts w:hint="eastAsia" w:ascii="仿宋" w:hAnsi="仿宋" w:eastAsia="仿宋" w:cs="仿宋"/>
                          <w:sz w:val="26"/>
                          <w:szCs w:val="26"/>
                        </w:rPr>
                        <w:t>精准医学从病人的临床症状和体征入手，采用基因及相关分子诊断技术，通过生物信息学整合患者临床电子病历资料，对患者实施量身定制的健康医疗和临床决策。因此，作为临床医学教育，要求学生掌握临床医学的基本理论知识；掌握人类疾病病因、病理分类、鉴别的基本理论知识和技术；掌握常见病、多发病诊断处理的临床基本技能；具有对急、难、重症的初步处理能力；初步掌握预防医学基本理论知识；熟悉国家卫生工作方针、政策和法规。作为精准医学教育，要求学生掌握精准医学的目的、意义、内容和适用范围；掌握基因组技术和现代分子诊断技术、影像技术的基本知识，学习如何生物信息学，整合和应用分子诊断资料，制定个性化的健康医疗计划；掌握文献检索、资料调查的基本方法，具有初步的科学研究能力和一定的实际工作能力</w:t>
                      </w:r>
                      <w:r>
                        <w:rPr>
                          <w:rFonts w:hint="eastAsia" w:ascii="仿宋" w:hAnsi="仿宋" w:eastAsia="仿宋" w:cs="仿宋"/>
                          <w:b/>
                          <w:bCs/>
                          <w:sz w:val="26"/>
                          <w:szCs w:val="26"/>
                        </w:rPr>
                        <w:t>。</w:t>
                      </w:r>
                    </w:p>
                    <w:p>
                      <w:pPr>
                        <w:spacing w:line="400" w:lineRule="exact"/>
                        <w:jc w:val="center"/>
                        <w:rPr>
                          <w:rFonts w:ascii="仿宋" w:hAnsi="仿宋" w:eastAsia="仿宋" w:cs="仿宋"/>
                          <w:b/>
                          <w:bCs/>
                          <w:sz w:val="26"/>
                          <w:szCs w:val="26"/>
                        </w:rPr>
                      </w:pPr>
                      <w:r>
                        <w:rPr>
                          <w:rFonts w:hint="eastAsia" w:ascii="仿宋" w:hAnsi="仿宋" w:eastAsia="仿宋" w:cs="仿宋"/>
                          <w:b/>
                          <w:bCs/>
                          <w:sz w:val="26"/>
                          <w:szCs w:val="26"/>
                        </w:rPr>
                        <w:t>三、标准学制、毕业最低学分、授予学位</w:t>
                      </w:r>
                    </w:p>
                    <w:p>
                      <w:pPr>
                        <w:spacing w:line="400" w:lineRule="exact"/>
                        <w:rPr>
                          <w:rFonts w:ascii="仿宋" w:hAnsi="仿宋" w:eastAsia="仿宋" w:cs="仿宋"/>
                          <w:sz w:val="26"/>
                          <w:szCs w:val="26"/>
                        </w:rPr>
                      </w:pPr>
                      <w:r>
                        <w:rPr>
                          <w:rFonts w:hint="eastAsia" w:ascii="仿宋" w:hAnsi="仿宋" w:eastAsia="仿宋" w:cs="仿宋"/>
                          <w:sz w:val="26"/>
                          <w:szCs w:val="26"/>
                        </w:rPr>
                        <w:t>标准学制：5年</w:t>
                      </w:r>
                    </w:p>
                    <w:p>
                      <w:pPr>
                        <w:spacing w:line="400" w:lineRule="exact"/>
                        <w:rPr>
                          <w:rFonts w:ascii="仿宋" w:hAnsi="仿宋" w:eastAsia="仿宋" w:cs="仿宋"/>
                          <w:sz w:val="26"/>
                          <w:szCs w:val="26"/>
                        </w:rPr>
                      </w:pPr>
                      <w:r>
                        <w:rPr>
                          <w:rFonts w:hint="eastAsia" w:ascii="仿宋" w:hAnsi="仿宋" w:eastAsia="仿宋" w:cs="仿宋"/>
                          <w:sz w:val="26"/>
                          <w:szCs w:val="26"/>
                        </w:rPr>
                        <w:t>毕业最低学分：255.5学分</w:t>
                      </w:r>
                    </w:p>
                    <w:p>
                      <w:pPr>
                        <w:spacing w:line="400" w:lineRule="exact"/>
                        <w:rPr>
                          <w:rFonts w:ascii="仿宋" w:hAnsi="仿宋" w:eastAsia="仿宋" w:cs="仿宋"/>
                          <w:sz w:val="26"/>
                          <w:szCs w:val="26"/>
                        </w:rPr>
                      </w:pPr>
                      <w:r>
                        <w:rPr>
                          <w:rFonts w:hint="eastAsia" w:ascii="仿宋" w:hAnsi="仿宋" w:eastAsia="仿宋" w:cs="仿宋"/>
                          <w:sz w:val="26"/>
                          <w:szCs w:val="26"/>
                        </w:rPr>
                        <w:t>授予学位：医学学士 （南昌大学授予）</w:t>
                      </w:r>
                    </w:p>
                    <w:p>
                      <w:pPr>
                        <w:spacing w:line="400" w:lineRule="exact"/>
                        <w:rPr>
                          <w:rFonts w:ascii="仿宋" w:hAnsi="仿宋" w:eastAsia="仿宋" w:cs="仿宋"/>
                          <w:sz w:val="26"/>
                          <w:szCs w:val="26"/>
                        </w:rPr>
                      </w:pPr>
                      <w:r>
                        <w:rPr>
                          <w:rFonts w:hint="eastAsia" w:ascii="仿宋" w:hAnsi="仿宋" w:eastAsia="仿宋" w:cs="仿宋"/>
                          <w:sz w:val="26"/>
                          <w:szCs w:val="26"/>
                        </w:rPr>
                        <w:t>精准医学科学学士（英国伦敦玛丽女王大学授予，合作项目后续申请）</w:t>
                      </w:r>
                    </w:p>
                    <w:p>
                      <w:pPr>
                        <w:spacing w:line="400" w:lineRule="exact"/>
                        <w:jc w:val="center"/>
                        <w:rPr>
                          <w:rFonts w:ascii="仿宋" w:hAnsi="仿宋" w:eastAsia="仿宋" w:cs="仿宋"/>
                          <w:b/>
                          <w:bCs/>
                          <w:sz w:val="26"/>
                          <w:szCs w:val="26"/>
                        </w:rPr>
                      </w:pPr>
                      <w:r>
                        <w:rPr>
                          <w:rFonts w:hint="eastAsia" w:ascii="仿宋" w:hAnsi="仿宋" w:eastAsia="仿宋" w:cs="仿宋"/>
                          <w:b/>
                          <w:bCs/>
                          <w:sz w:val="26"/>
                          <w:szCs w:val="26"/>
                        </w:rPr>
                        <w:t>四、课程体系</w:t>
                      </w:r>
                    </w:p>
                    <w:p>
                      <w:pPr>
                        <w:spacing w:line="400" w:lineRule="exact"/>
                        <w:ind w:firstLine="520" w:firstLineChars="200"/>
                        <w:rPr>
                          <w:rFonts w:ascii="仿宋" w:hAnsi="仿宋" w:eastAsia="仿宋" w:cs="仿宋"/>
                          <w:sz w:val="26"/>
                          <w:szCs w:val="26"/>
                        </w:rPr>
                      </w:pPr>
                      <w:r>
                        <w:rPr>
                          <w:rFonts w:hint="eastAsia" w:ascii="仿宋" w:hAnsi="仿宋" w:eastAsia="仿宋" w:cs="仿宋"/>
                          <w:sz w:val="26"/>
                          <w:szCs w:val="26"/>
                        </w:rPr>
                        <w:t>课程体系由I类通识课程、学科基础课程、专业主干课程组成。</w:t>
                      </w:r>
                    </w:p>
                    <w:p>
                      <w:pPr>
                        <w:spacing w:line="400" w:lineRule="exact"/>
                        <w:ind w:firstLine="520" w:firstLineChars="200"/>
                        <w:jc w:val="both"/>
                        <w:rPr>
                          <w:rFonts w:ascii="仿宋" w:hAnsi="仿宋" w:eastAsia="仿宋" w:cs="仿宋"/>
                          <w:sz w:val="26"/>
                          <w:szCs w:val="26"/>
                        </w:rPr>
                      </w:pPr>
                      <w:r>
                        <w:rPr>
                          <w:rFonts w:hint="eastAsia" w:ascii="仿宋" w:hAnsi="仿宋" w:eastAsia="仿宋" w:cs="仿宋"/>
                          <w:sz w:val="26"/>
                          <w:szCs w:val="26"/>
                        </w:rPr>
                        <w:t>主要课程：组织学与组织病理学、人体细胞学、生理学、基础医学遗传学 、染色体和基因功能、人体解剖学、生命生物分子、基因组和大数据在诊断和疾病中的应用、病理学、神经生物学基础 、癌症生物学 、医学影像学、诊断学、外科学、内科学、眼科学、神经病学、儿科学、妇产科学等。</w:t>
                      </w:r>
                    </w:p>
                    <w:p/>
                  </w:txbxContent>
                </v:textbox>
              </v:shape>
            </w:pict>
          </mc:Fallback>
        </mc:AlternateContent>
      </w:r>
      <w:r>
        <w:rPr>
          <w:rFonts w:ascii="Arial" w:hAnsi="Arial" w:eastAsia="Arial" w:cs="Arial"/>
          <w:sz w:val="18"/>
          <w:szCs w:val="16"/>
        </w:rPr>
        <w:t xml:space="preserve"> </w:t>
      </w:r>
      <w:r>
        <w:rPr>
          <w:rFonts w:ascii="微软雅黑" w:hAnsi="微软雅黑" w:eastAsia="微软雅黑" w:cs="微软雅黑"/>
          <w:sz w:val="18"/>
          <w:szCs w:val="16"/>
        </w:rPr>
        <w:t>（包括培养目标、基本要求、修业年限、授予学位、主要课程、主要实践性教学环节和主要专业实验、教学计划等内容）（如需要可加页）</w:t>
      </w:r>
    </w:p>
    <w:p>
      <w:pPr>
        <w:rPr>
          <w:rFonts w:ascii="黑体" w:hAnsi="黑体" w:eastAsia="黑体"/>
          <w:sz w:val="36"/>
          <w:szCs w:val="36"/>
        </w:rPr>
        <w:sectPr>
          <w:footerReference r:id="rId10" w:type="first"/>
          <w:footerReference r:id="rId9" w:type="default"/>
          <w:pgSz w:w="11906" w:h="16838"/>
          <w:pgMar w:top="720" w:right="720" w:bottom="720" w:left="720" w:header="851" w:footer="567" w:gutter="0"/>
          <w:cols w:space="720" w:num="1"/>
          <w:titlePg/>
          <w:docGrid w:type="lines" w:linePitch="312" w:charSpace="0"/>
        </w:sectPr>
      </w:pPr>
      <w:r>
        <w:rPr>
          <w:rFonts w:ascii="微软雅黑" w:hAnsi="微软雅黑" w:eastAsia="微软雅黑" w:cs="微软雅黑"/>
          <w:sz w:val="18"/>
          <w:szCs w:val="16"/>
        </w:rPr>
        <w:br w:type="page"/>
      </w:r>
    </w:p>
    <w:p>
      <w:pPr>
        <w:rPr>
          <w:rFonts w:ascii="仿宋" w:hAnsi="仿宋" w:eastAsia="仿宋" w:cs="仿宋"/>
          <w:sz w:val="26"/>
          <w:szCs w:val="26"/>
        </w:rPr>
      </w:pPr>
      <w:r>
        <w:rPr>
          <w:rFonts w:hint="eastAsia" w:ascii="仿宋" w:hAnsi="仿宋" w:eastAsia="仿宋" w:cs="仿宋"/>
          <w:b/>
          <w:bCs/>
          <w:sz w:val="26"/>
          <w:szCs w:val="26"/>
        </w:rPr>
        <w:t>五、各类课程学分比例</w:t>
      </w:r>
    </w:p>
    <w:tbl>
      <w:tblPr>
        <w:tblStyle w:val="8"/>
        <w:tblpPr w:leftFromText="180" w:rightFromText="180" w:vertAnchor="text" w:tblpXSpec="center" w:tblpY="1"/>
        <w:tblOverlap w:val="never"/>
        <w:tblW w:w="9871" w:type="dxa"/>
        <w:tblInd w:w="-6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3"/>
        <w:gridCol w:w="2250"/>
        <w:gridCol w:w="2315"/>
        <w:gridCol w:w="2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73"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课程类别</w:t>
            </w:r>
          </w:p>
        </w:tc>
        <w:tc>
          <w:tcPr>
            <w:tcW w:w="2250"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学分</w:t>
            </w:r>
          </w:p>
        </w:tc>
        <w:tc>
          <w:tcPr>
            <w:tcW w:w="2315"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百分比(%)</w:t>
            </w:r>
          </w:p>
        </w:tc>
        <w:tc>
          <w:tcPr>
            <w:tcW w:w="2733"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73"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Ⅰ类通识课程</w:t>
            </w:r>
          </w:p>
        </w:tc>
        <w:tc>
          <w:tcPr>
            <w:tcW w:w="2250"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29.5</w:t>
            </w:r>
          </w:p>
        </w:tc>
        <w:tc>
          <w:tcPr>
            <w:tcW w:w="2315"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 xml:space="preserve">11.55 </w:t>
            </w:r>
          </w:p>
        </w:tc>
        <w:tc>
          <w:tcPr>
            <w:tcW w:w="2733"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548+3周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73"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学科基础课程</w:t>
            </w:r>
          </w:p>
        </w:tc>
        <w:tc>
          <w:tcPr>
            <w:tcW w:w="2250"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96.5</w:t>
            </w:r>
          </w:p>
        </w:tc>
        <w:tc>
          <w:tcPr>
            <w:tcW w:w="2315"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 xml:space="preserve">37.77 </w:t>
            </w:r>
          </w:p>
        </w:tc>
        <w:tc>
          <w:tcPr>
            <w:tcW w:w="2733"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1775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73"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专业主干课程</w:t>
            </w:r>
          </w:p>
        </w:tc>
        <w:tc>
          <w:tcPr>
            <w:tcW w:w="2250"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129.5</w:t>
            </w:r>
          </w:p>
        </w:tc>
        <w:tc>
          <w:tcPr>
            <w:tcW w:w="2315"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 xml:space="preserve">50.68 </w:t>
            </w:r>
          </w:p>
        </w:tc>
        <w:tc>
          <w:tcPr>
            <w:tcW w:w="2733" w:type="dxa"/>
            <w:vAlign w:val="center"/>
          </w:tcPr>
          <w:p>
            <w:pPr>
              <w:widowControl/>
              <w:spacing w:after="0" w:line="240" w:lineRule="auto"/>
              <w:jc w:val="center"/>
              <w:textAlignment w:val="center"/>
              <w:rPr>
                <w:rFonts w:ascii="仿宋" w:hAnsi="仿宋" w:eastAsia="仿宋" w:cs="仿宋"/>
                <w:sz w:val="26"/>
                <w:szCs w:val="26"/>
              </w:rPr>
            </w:pPr>
            <w:r>
              <w:rPr>
                <w:rFonts w:hint="eastAsia" w:ascii="仿宋" w:hAnsi="仿宋" w:eastAsia="仿宋" w:cs="仿宋"/>
                <w:sz w:val="26"/>
                <w:szCs w:val="26"/>
                <w:lang w:bidi="ar"/>
              </w:rPr>
              <w:t>1377+68周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73" w:type="dxa"/>
            <w:vAlign w:val="center"/>
          </w:tcPr>
          <w:p>
            <w:pPr>
              <w:widowControl/>
              <w:spacing w:after="0" w:line="240" w:lineRule="auto"/>
              <w:jc w:val="center"/>
              <w:textAlignment w:val="center"/>
              <w:rPr>
                <w:rFonts w:ascii="仿宋" w:hAnsi="仿宋" w:eastAsia="仿宋" w:cs="仿宋"/>
                <w:sz w:val="26"/>
                <w:szCs w:val="26"/>
                <w:lang w:bidi="ar"/>
              </w:rPr>
            </w:pPr>
            <w:r>
              <w:rPr>
                <w:rFonts w:hint="eastAsia" w:ascii="仿宋" w:hAnsi="仿宋" w:eastAsia="仿宋" w:cs="仿宋"/>
                <w:sz w:val="26"/>
                <w:szCs w:val="26"/>
                <w:lang w:bidi="ar"/>
              </w:rPr>
              <w:t>总计</w:t>
            </w:r>
          </w:p>
        </w:tc>
        <w:tc>
          <w:tcPr>
            <w:tcW w:w="2250" w:type="dxa"/>
            <w:vAlign w:val="center"/>
          </w:tcPr>
          <w:p>
            <w:pPr>
              <w:widowControl/>
              <w:spacing w:after="0" w:line="240" w:lineRule="auto"/>
              <w:jc w:val="center"/>
              <w:textAlignment w:val="center"/>
              <w:rPr>
                <w:rFonts w:ascii="仿宋" w:hAnsi="仿宋" w:eastAsia="仿宋" w:cs="仿宋"/>
                <w:sz w:val="26"/>
                <w:szCs w:val="26"/>
                <w:lang w:bidi="ar"/>
              </w:rPr>
            </w:pPr>
            <w:r>
              <w:rPr>
                <w:rFonts w:hint="eastAsia" w:ascii="仿宋" w:hAnsi="仿宋" w:eastAsia="仿宋" w:cs="仿宋"/>
                <w:sz w:val="26"/>
                <w:szCs w:val="26"/>
                <w:lang w:bidi="ar"/>
              </w:rPr>
              <w:t>255.5</w:t>
            </w:r>
          </w:p>
        </w:tc>
        <w:tc>
          <w:tcPr>
            <w:tcW w:w="2315" w:type="dxa"/>
            <w:vAlign w:val="center"/>
          </w:tcPr>
          <w:p>
            <w:pPr>
              <w:widowControl/>
              <w:spacing w:after="0" w:line="240" w:lineRule="auto"/>
              <w:jc w:val="center"/>
              <w:textAlignment w:val="center"/>
              <w:rPr>
                <w:rFonts w:ascii="仿宋" w:hAnsi="仿宋" w:eastAsia="仿宋" w:cs="仿宋"/>
                <w:sz w:val="26"/>
                <w:szCs w:val="26"/>
                <w:lang w:bidi="ar"/>
              </w:rPr>
            </w:pPr>
          </w:p>
        </w:tc>
        <w:tc>
          <w:tcPr>
            <w:tcW w:w="2733" w:type="dxa"/>
            <w:vAlign w:val="center"/>
          </w:tcPr>
          <w:p>
            <w:pPr>
              <w:widowControl/>
              <w:spacing w:after="0" w:line="240" w:lineRule="auto"/>
              <w:jc w:val="center"/>
              <w:textAlignment w:val="center"/>
              <w:rPr>
                <w:rFonts w:ascii="仿宋" w:hAnsi="仿宋" w:eastAsia="仿宋" w:cs="仿宋"/>
                <w:sz w:val="26"/>
                <w:szCs w:val="26"/>
                <w:lang w:bidi="ar"/>
              </w:rPr>
            </w:pPr>
          </w:p>
        </w:tc>
      </w:tr>
    </w:tbl>
    <w:p>
      <w:pPr>
        <w:rPr>
          <w:rFonts w:ascii="黑体" w:hAnsi="宋体" w:eastAsia="黑体" w:cs="宋体"/>
          <w:b/>
          <w:sz w:val="24"/>
        </w:rPr>
      </w:pPr>
    </w:p>
    <w:p>
      <w:pPr>
        <w:rPr>
          <w:rFonts w:ascii="仿宋" w:hAnsi="仿宋" w:eastAsia="仿宋" w:cs="仿宋"/>
          <w:b/>
          <w:sz w:val="24"/>
        </w:rPr>
      </w:pPr>
      <w:r>
        <w:rPr>
          <w:rFonts w:hint="eastAsia" w:ascii="仿宋" w:hAnsi="仿宋" w:eastAsia="仿宋" w:cs="仿宋"/>
          <w:b/>
          <w:sz w:val="24"/>
        </w:rPr>
        <w:t>六、各类课程设置、学分分配及教学计划进程表</w:t>
      </w:r>
    </w:p>
    <w:p>
      <w:pPr>
        <w:rPr>
          <w:rFonts w:ascii="仿宋" w:hAnsi="仿宋" w:eastAsia="仿宋" w:cs="仿宋"/>
        </w:rPr>
      </w:pPr>
      <w:r>
        <w:rPr>
          <w:rFonts w:hint="eastAsia" w:ascii="仿宋" w:hAnsi="仿宋" w:eastAsia="仿宋" w:cs="仿宋"/>
          <w:bCs/>
          <w:sz w:val="24"/>
        </w:rPr>
        <w:t xml:space="preserve">（一）Ⅰ类通识课程  </w:t>
      </w:r>
    </w:p>
    <w:tbl>
      <w:tblPr>
        <w:tblStyle w:val="7"/>
        <w:tblpPr w:leftFromText="180" w:rightFromText="180" w:vertAnchor="text" w:tblpXSpec="center" w:tblpY="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66"/>
        <w:gridCol w:w="1324"/>
        <w:gridCol w:w="1699"/>
        <w:gridCol w:w="3070"/>
        <w:gridCol w:w="456"/>
        <w:gridCol w:w="492"/>
        <w:gridCol w:w="493"/>
        <w:gridCol w:w="547"/>
        <w:gridCol w:w="795"/>
        <w:gridCol w:w="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8" w:hRule="exact"/>
        </w:trPr>
        <w:tc>
          <w:tcPr>
            <w:tcW w:w="566" w:type="dxa"/>
            <w:vMerge w:val="restart"/>
            <w:vAlign w:val="center"/>
          </w:tcPr>
          <w:p>
            <w:pPr>
              <w:jc w:val="center"/>
              <w:textAlignment w:val="center"/>
              <w:rPr>
                <w:rFonts w:ascii="仿宋" w:hAnsi="仿宋" w:eastAsia="仿宋" w:cs="仿宋"/>
                <w:b/>
                <w:bCs/>
                <w:szCs w:val="21"/>
              </w:rPr>
            </w:pPr>
            <w:r>
              <w:rPr>
                <w:rFonts w:hint="eastAsia" w:ascii="仿宋" w:hAnsi="仿宋" w:eastAsia="仿宋" w:cs="仿宋"/>
                <w:b/>
                <w:szCs w:val="21"/>
              </w:rPr>
              <w:t>序号</w:t>
            </w:r>
          </w:p>
        </w:tc>
        <w:tc>
          <w:tcPr>
            <w:tcW w:w="1324" w:type="dxa"/>
            <w:vMerge w:val="restart"/>
            <w:vAlign w:val="center"/>
          </w:tcPr>
          <w:p>
            <w:pPr>
              <w:jc w:val="center"/>
              <w:textAlignment w:val="center"/>
              <w:rPr>
                <w:rFonts w:ascii="仿宋" w:hAnsi="仿宋" w:eastAsia="仿宋" w:cs="仿宋"/>
                <w:b/>
                <w:bCs/>
                <w:szCs w:val="21"/>
              </w:rPr>
            </w:pPr>
            <w:r>
              <w:rPr>
                <w:rFonts w:hint="eastAsia" w:ascii="仿宋" w:hAnsi="仿宋" w:eastAsia="仿宋" w:cs="仿宋"/>
                <w:b/>
                <w:szCs w:val="21"/>
              </w:rPr>
              <w:t>课程编码</w:t>
            </w:r>
          </w:p>
        </w:tc>
        <w:tc>
          <w:tcPr>
            <w:tcW w:w="1699" w:type="dxa"/>
            <w:vMerge w:val="restart"/>
            <w:vAlign w:val="center"/>
          </w:tcPr>
          <w:p>
            <w:pPr>
              <w:jc w:val="center"/>
              <w:textAlignment w:val="center"/>
              <w:rPr>
                <w:rFonts w:ascii="仿宋" w:hAnsi="仿宋" w:eastAsia="仿宋" w:cs="仿宋"/>
                <w:b/>
                <w:bCs/>
                <w:szCs w:val="21"/>
              </w:rPr>
            </w:pPr>
            <w:r>
              <w:rPr>
                <w:rFonts w:hint="eastAsia" w:ascii="仿宋" w:hAnsi="仿宋" w:eastAsia="仿宋" w:cs="仿宋"/>
                <w:b/>
                <w:szCs w:val="21"/>
              </w:rPr>
              <w:t>课程名称</w:t>
            </w:r>
          </w:p>
        </w:tc>
        <w:tc>
          <w:tcPr>
            <w:tcW w:w="3070" w:type="dxa"/>
            <w:vMerge w:val="restart"/>
            <w:vAlign w:val="center"/>
          </w:tcPr>
          <w:p>
            <w:pPr>
              <w:jc w:val="center"/>
              <w:textAlignment w:val="center"/>
              <w:rPr>
                <w:rFonts w:ascii="仿宋" w:hAnsi="仿宋" w:eastAsia="仿宋" w:cs="仿宋"/>
                <w:b/>
                <w:bCs/>
                <w:szCs w:val="21"/>
              </w:rPr>
            </w:pPr>
            <w:r>
              <w:rPr>
                <w:rFonts w:hint="eastAsia" w:ascii="仿宋" w:hAnsi="仿宋" w:eastAsia="仿宋" w:cs="仿宋"/>
                <w:b/>
                <w:szCs w:val="21"/>
              </w:rPr>
              <w:t>课程名称（英文）</w:t>
            </w:r>
          </w:p>
        </w:tc>
        <w:tc>
          <w:tcPr>
            <w:tcW w:w="456" w:type="dxa"/>
            <w:vMerge w:val="restart"/>
            <w:vAlign w:val="center"/>
          </w:tcPr>
          <w:p>
            <w:pPr>
              <w:jc w:val="center"/>
              <w:textAlignment w:val="center"/>
              <w:rPr>
                <w:rFonts w:ascii="仿宋" w:hAnsi="仿宋" w:eastAsia="仿宋" w:cs="仿宋"/>
                <w:bCs/>
                <w:sz w:val="18"/>
                <w:szCs w:val="18"/>
              </w:rPr>
            </w:pPr>
            <w:r>
              <w:rPr>
                <w:rFonts w:hint="eastAsia" w:ascii="仿宋" w:hAnsi="仿宋" w:eastAsia="仿宋" w:cs="仿宋"/>
                <w:b/>
                <w:szCs w:val="21"/>
              </w:rPr>
              <w:t>学分</w:t>
            </w:r>
          </w:p>
        </w:tc>
        <w:tc>
          <w:tcPr>
            <w:tcW w:w="2327" w:type="dxa"/>
            <w:gridSpan w:val="4"/>
            <w:vAlign w:val="center"/>
          </w:tcPr>
          <w:p>
            <w:pPr>
              <w:jc w:val="center"/>
              <w:textAlignment w:val="center"/>
              <w:rPr>
                <w:rFonts w:ascii="仿宋" w:hAnsi="仿宋" w:eastAsia="仿宋" w:cs="仿宋"/>
                <w:b/>
                <w:bCs/>
                <w:szCs w:val="21"/>
              </w:rPr>
            </w:pPr>
            <w:r>
              <w:rPr>
                <w:rFonts w:hint="eastAsia" w:ascii="仿宋" w:hAnsi="仿宋" w:eastAsia="仿宋" w:cs="仿宋"/>
                <w:b/>
                <w:szCs w:val="21"/>
              </w:rPr>
              <w:t>教学学时</w:t>
            </w:r>
          </w:p>
        </w:tc>
        <w:tc>
          <w:tcPr>
            <w:tcW w:w="566" w:type="dxa"/>
            <w:vMerge w:val="restart"/>
            <w:vAlign w:val="center"/>
          </w:tcPr>
          <w:p>
            <w:pPr>
              <w:jc w:val="center"/>
              <w:textAlignment w:val="center"/>
              <w:rPr>
                <w:rFonts w:ascii="仿宋" w:hAnsi="仿宋" w:eastAsia="仿宋" w:cs="仿宋"/>
                <w:b/>
                <w:bCs/>
                <w:szCs w:val="21"/>
              </w:rPr>
            </w:pPr>
            <w:r>
              <w:rPr>
                <w:rFonts w:hint="eastAsia" w:ascii="仿宋" w:hAnsi="仿宋" w:eastAsia="仿宋" w:cs="仿宋"/>
                <w:b/>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8" w:hRule="exact"/>
        </w:trPr>
        <w:tc>
          <w:tcPr>
            <w:tcW w:w="566" w:type="dxa"/>
            <w:vMerge w:val="continue"/>
            <w:vAlign w:val="center"/>
          </w:tcPr>
          <w:p>
            <w:pPr>
              <w:jc w:val="center"/>
              <w:rPr>
                <w:rFonts w:ascii="仿宋" w:hAnsi="仿宋" w:eastAsia="仿宋" w:cs="仿宋"/>
                <w:b/>
                <w:bCs/>
                <w:szCs w:val="21"/>
              </w:rPr>
            </w:pPr>
          </w:p>
        </w:tc>
        <w:tc>
          <w:tcPr>
            <w:tcW w:w="1324" w:type="dxa"/>
            <w:vMerge w:val="continue"/>
            <w:vAlign w:val="center"/>
          </w:tcPr>
          <w:p>
            <w:pPr>
              <w:jc w:val="center"/>
              <w:rPr>
                <w:rFonts w:ascii="仿宋" w:hAnsi="仿宋" w:eastAsia="仿宋" w:cs="仿宋"/>
                <w:b/>
                <w:bCs/>
                <w:szCs w:val="21"/>
              </w:rPr>
            </w:pPr>
          </w:p>
        </w:tc>
        <w:tc>
          <w:tcPr>
            <w:tcW w:w="1699" w:type="dxa"/>
            <w:vMerge w:val="continue"/>
            <w:vAlign w:val="center"/>
          </w:tcPr>
          <w:p>
            <w:pPr>
              <w:jc w:val="center"/>
              <w:rPr>
                <w:rFonts w:ascii="仿宋" w:hAnsi="仿宋" w:eastAsia="仿宋" w:cs="仿宋"/>
                <w:b/>
                <w:bCs/>
                <w:szCs w:val="21"/>
              </w:rPr>
            </w:pPr>
          </w:p>
        </w:tc>
        <w:tc>
          <w:tcPr>
            <w:tcW w:w="3070" w:type="dxa"/>
            <w:vMerge w:val="continue"/>
            <w:vAlign w:val="center"/>
          </w:tcPr>
          <w:p>
            <w:pPr>
              <w:jc w:val="center"/>
              <w:rPr>
                <w:rFonts w:ascii="仿宋" w:hAnsi="仿宋" w:eastAsia="仿宋" w:cs="仿宋"/>
                <w:b/>
                <w:bCs/>
                <w:szCs w:val="21"/>
              </w:rPr>
            </w:pPr>
          </w:p>
        </w:tc>
        <w:tc>
          <w:tcPr>
            <w:tcW w:w="456" w:type="dxa"/>
            <w:vMerge w:val="continue"/>
            <w:vAlign w:val="center"/>
          </w:tcPr>
          <w:p>
            <w:pPr>
              <w:jc w:val="center"/>
              <w:rPr>
                <w:rFonts w:ascii="仿宋" w:hAnsi="仿宋" w:eastAsia="仿宋" w:cs="仿宋"/>
                <w:bCs/>
                <w:sz w:val="18"/>
                <w:szCs w:val="18"/>
              </w:rPr>
            </w:pPr>
          </w:p>
        </w:tc>
        <w:tc>
          <w:tcPr>
            <w:tcW w:w="985" w:type="dxa"/>
            <w:gridSpan w:val="2"/>
            <w:vAlign w:val="center"/>
          </w:tcPr>
          <w:p>
            <w:pPr>
              <w:jc w:val="center"/>
              <w:textAlignment w:val="center"/>
              <w:rPr>
                <w:rFonts w:ascii="仿宋" w:hAnsi="仿宋" w:eastAsia="仿宋" w:cs="仿宋"/>
                <w:b/>
                <w:bCs/>
                <w:szCs w:val="21"/>
              </w:rPr>
            </w:pPr>
            <w:r>
              <w:rPr>
                <w:rFonts w:hint="eastAsia" w:ascii="仿宋" w:hAnsi="仿宋" w:eastAsia="仿宋" w:cs="仿宋"/>
                <w:b/>
                <w:szCs w:val="21"/>
              </w:rPr>
              <w:t>理论</w:t>
            </w:r>
          </w:p>
        </w:tc>
        <w:tc>
          <w:tcPr>
            <w:tcW w:w="547" w:type="dxa"/>
            <w:vMerge w:val="restart"/>
            <w:vAlign w:val="center"/>
          </w:tcPr>
          <w:p>
            <w:pPr>
              <w:jc w:val="center"/>
              <w:textAlignment w:val="center"/>
              <w:rPr>
                <w:rFonts w:ascii="仿宋" w:hAnsi="仿宋" w:eastAsia="仿宋" w:cs="仿宋"/>
                <w:b/>
                <w:bCs/>
                <w:szCs w:val="21"/>
              </w:rPr>
            </w:pPr>
            <w:r>
              <w:rPr>
                <w:rFonts w:hint="eastAsia" w:ascii="仿宋" w:hAnsi="仿宋" w:eastAsia="仿宋" w:cs="仿宋"/>
                <w:b/>
                <w:szCs w:val="21"/>
              </w:rPr>
              <w:t>实验</w:t>
            </w:r>
          </w:p>
        </w:tc>
        <w:tc>
          <w:tcPr>
            <w:tcW w:w="795" w:type="dxa"/>
            <w:vMerge w:val="restart"/>
            <w:vAlign w:val="center"/>
          </w:tcPr>
          <w:p>
            <w:pPr>
              <w:jc w:val="center"/>
              <w:textAlignment w:val="center"/>
              <w:rPr>
                <w:rFonts w:ascii="仿宋" w:hAnsi="仿宋" w:eastAsia="仿宋" w:cs="仿宋"/>
                <w:b/>
                <w:bCs/>
                <w:szCs w:val="21"/>
              </w:rPr>
            </w:pPr>
            <w:r>
              <w:rPr>
                <w:rFonts w:hint="eastAsia" w:ascii="仿宋" w:hAnsi="仿宋" w:eastAsia="仿宋" w:cs="仿宋"/>
                <w:b/>
                <w:szCs w:val="21"/>
              </w:rPr>
              <w:t>实践（周）</w:t>
            </w:r>
          </w:p>
        </w:tc>
        <w:tc>
          <w:tcPr>
            <w:tcW w:w="566" w:type="dxa"/>
            <w:vMerge w:val="continue"/>
            <w:vAlign w:val="center"/>
          </w:tcPr>
          <w:p>
            <w:pPr>
              <w:jc w:val="center"/>
              <w:rPr>
                <w:rFonts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43" w:hRule="exact"/>
        </w:trPr>
        <w:tc>
          <w:tcPr>
            <w:tcW w:w="566" w:type="dxa"/>
            <w:vMerge w:val="continue"/>
            <w:vAlign w:val="center"/>
          </w:tcPr>
          <w:p>
            <w:pPr>
              <w:jc w:val="center"/>
              <w:rPr>
                <w:rFonts w:ascii="仿宋" w:hAnsi="仿宋" w:eastAsia="仿宋" w:cs="仿宋"/>
                <w:b/>
                <w:bCs/>
                <w:szCs w:val="21"/>
              </w:rPr>
            </w:pPr>
          </w:p>
        </w:tc>
        <w:tc>
          <w:tcPr>
            <w:tcW w:w="1324" w:type="dxa"/>
            <w:vMerge w:val="continue"/>
            <w:vAlign w:val="center"/>
          </w:tcPr>
          <w:p>
            <w:pPr>
              <w:jc w:val="center"/>
              <w:rPr>
                <w:rFonts w:ascii="仿宋" w:hAnsi="仿宋" w:eastAsia="仿宋" w:cs="仿宋"/>
                <w:b/>
                <w:bCs/>
                <w:szCs w:val="21"/>
              </w:rPr>
            </w:pPr>
          </w:p>
        </w:tc>
        <w:tc>
          <w:tcPr>
            <w:tcW w:w="1699" w:type="dxa"/>
            <w:vMerge w:val="continue"/>
            <w:vAlign w:val="center"/>
          </w:tcPr>
          <w:p>
            <w:pPr>
              <w:jc w:val="center"/>
              <w:rPr>
                <w:rFonts w:ascii="仿宋" w:hAnsi="仿宋" w:eastAsia="仿宋" w:cs="仿宋"/>
                <w:b/>
                <w:bCs/>
                <w:szCs w:val="21"/>
              </w:rPr>
            </w:pPr>
          </w:p>
        </w:tc>
        <w:tc>
          <w:tcPr>
            <w:tcW w:w="3070" w:type="dxa"/>
            <w:vMerge w:val="continue"/>
            <w:vAlign w:val="center"/>
          </w:tcPr>
          <w:p>
            <w:pPr>
              <w:jc w:val="center"/>
              <w:rPr>
                <w:rFonts w:ascii="仿宋" w:hAnsi="仿宋" w:eastAsia="仿宋" w:cs="仿宋"/>
                <w:b/>
                <w:bCs/>
                <w:szCs w:val="21"/>
              </w:rPr>
            </w:pPr>
          </w:p>
        </w:tc>
        <w:tc>
          <w:tcPr>
            <w:tcW w:w="456" w:type="dxa"/>
            <w:vMerge w:val="continue"/>
            <w:vAlign w:val="center"/>
          </w:tcPr>
          <w:p>
            <w:pPr>
              <w:jc w:val="center"/>
              <w:rPr>
                <w:rFonts w:ascii="仿宋" w:hAnsi="仿宋" w:eastAsia="仿宋" w:cs="仿宋"/>
                <w:bCs/>
                <w:sz w:val="18"/>
                <w:szCs w:val="18"/>
              </w:rPr>
            </w:pPr>
          </w:p>
        </w:tc>
        <w:tc>
          <w:tcPr>
            <w:tcW w:w="492" w:type="dxa"/>
            <w:vAlign w:val="center"/>
          </w:tcPr>
          <w:p>
            <w:pPr>
              <w:jc w:val="center"/>
              <w:textAlignment w:val="center"/>
              <w:rPr>
                <w:rFonts w:ascii="仿宋" w:hAnsi="仿宋" w:eastAsia="仿宋" w:cs="仿宋"/>
                <w:b/>
                <w:bCs/>
                <w:szCs w:val="21"/>
              </w:rPr>
            </w:pPr>
            <w:r>
              <w:rPr>
                <w:rFonts w:hint="eastAsia" w:ascii="仿宋" w:hAnsi="仿宋" w:eastAsia="仿宋" w:cs="仿宋"/>
                <w:b/>
                <w:szCs w:val="21"/>
              </w:rPr>
              <w:t>课内</w:t>
            </w:r>
          </w:p>
        </w:tc>
        <w:tc>
          <w:tcPr>
            <w:tcW w:w="493" w:type="dxa"/>
            <w:vAlign w:val="center"/>
          </w:tcPr>
          <w:p>
            <w:pPr>
              <w:jc w:val="center"/>
              <w:textAlignment w:val="center"/>
              <w:rPr>
                <w:rFonts w:ascii="仿宋" w:hAnsi="仿宋" w:eastAsia="仿宋" w:cs="仿宋"/>
                <w:b/>
                <w:bCs/>
                <w:szCs w:val="21"/>
              </w:rPr>
            </w:pPr>
            <w:r>
              <w:rPr>
                <w:rFonts w:hint="eastAsia" w:ascii="仿宋" w:hAnsi="仿宋" w:eastAsia="仿宋" w:cs="仿宋"/>
                <w:b/>
                <w:szCs w:val="21"/>
              </w:rPr>
              <w:t>课外</w:t>
            </w:r>
          </w:p>
        </w:tc>
        <w:tc>
          <w:tcPr>
            <w:tcW w:w="547" w:type="dxa"/>
            <w:vMerge w:val="continue"/>
            <w:vAlign w:val="center"/>
          </w:tcPr>
          <w:p>
            <w:pPr>
              <w:jc w:val="center"/>
              <w:rPr>
                <w:rFonts w:ascii="仿宋" w:hAnsi="仿宋" w:eastAsia="仿宋" w:cs="仿宋"/>
                <w:b/>
                <w:bCs/>
                <w:szCs w:val="21"/>
              </w:rPr>
            </w:pPr>
          </w:p>
        </w:tc>
        <w:tc>
          <w:tcPr>
            <w:tcW w:w="795" w:type="dxa"/>
            <w:vMerge w:val="continue"/>
            <w:vAlign w:val="center"/>
          </w:tcPr>
          <w:p>
            <w:pPr>
              <w:jc w:val="center"/>
              <w:rPr>
                <w:rFonts w:ascii="仿宋" w:hAnsi="仿宋" w:eastAsia="仿宋" w:cs="仿宋"/>
                <w:b/>
                <w:bCs/>
                <w:szCs w:val="21"/>
              </w:rPr>
            </w:pPr>
          </w:p>
        </w:tc>
        <w:tc>
          <w:tcPr>
            <w:tcW w:w="566" w:type="dxa"/>
            <w:vMerge w:val="continue"/>
            <w:vAlign w:val="center"/>
          </w:tcPr>
          <w:p>
            <w:pPr>
              <w:jc w:val="center"/>
              <w:rPr>
                <w:rFonts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T5130F1002</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大学英语(1)</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College English(1)</w:t>
            </w:r>
          </w:p>
        </w:tc>
        <w:tc>
          <w:tcPr>
            <w:tcW w:w="456"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4</w:t>
            </w:r>
          </w:p>
        </w:tc>
        <w:tc>
          <w:tcPr>
            <w:tcW w:w="492"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64</w:t>
            </w:r>
          </w:p>
        </w:tc>
        <w:tc>
          <w:tcPr>
            <w:tcW w:w="493" w:type="dxa"/>
            <w:vAlign w:val="center"/>
          </w:tcPr>
          <w:p>
            <w:pPr>
              <w:jc w:val="center"/>
              <w:rPr>
                <w:rFonts w:ascii="Times New Roman" w:hAnsi="Times New Roman" w:cs="Times New Roman"/>
                <w:sz w:val="18"/>
                <w:szCs w:val="18"/>
              </w:rPr>
            </w:pPr>
          </w:p>
        </w:tc>
        <w:tc>
          <w:tcPr>
            <w:tcW w:w="547" w:type="dxa"/>
            <w:vAlign w:val="center"/>
          </w:tcPr>
          <w:p>
            <w:pPr>
              <w:jc w:val="center"/>
              <w:rPr>
                <w:rFonts w:ascii="Times New Roman" w:hAnsi="Times New Roman" w:cs="Times New Roman"/>
                <w:sz w:val="18"/>
                <w:szCs w:val="18"/>
              </w:rPr>
            </w:pPr>
          </w:p>
        </w:tc>
        <w:tc>
          <w:tcPr>
            <w:tcW w:w="795" w:type="dxa"/>
            <w:vAlign w:val="center"/>
          </w:tcPr>
          <w:p>
            <w:pPr>
              <w:jc w:val="center"/>
              <w:rPr>
                <w:rFonts w:ascii="Times New Roman" w:hAnsi="Times New Roman" w:cs="Times New Roman"/>
                <w:sz w:val="18"/>
                <w:szCs w:val="18"/>
              </w:rPr>
            </w:pPr>
          </w:p>
        </w:tc>
        <w:tc>
          <w:tcPr>
            <w:tcW w:w="566"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T5130F2002</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大学英语(2)</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College English(2)</w:t>
            </w:r>
          </w:p>
        </w:tc>
        <w:tc>
          <w:tcPr>
            <w:tcW w:w="456"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4</w:t>
            </w:r>
          </w:p>
        </w:tc>
        <w:tc>
          <w:tcPr>
            <w:tcW w:w="492"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64</w:t>
            </w:r>
          </w:p>
        </w:tc>
        <w:tc>
          <w:tcPr>
            <w:tcW w:w="493" w:type="dxa"/>
            <w:vAlign w:val="center"/>
          </w:tcPr>
          <w:p>
            <w:pPr>
              <w:jc w:val="center"/>
              <w:rPr>
                <w:rFonts w:ascii="Times New Roman" w:hAnsi="Times New Roman" w:cs="Times New Roman"/>
                <w:sz w:val="18"/>
                <w:szCs w:val="18"/>
              </w:rPr>
            </w:pPr>
          </w:p>
        </w:tc>
        <w:tc>
          <w:tcPr>
            <w:tcW w:w="547" w:type="dxa"/>
            <w:vAlign w:val="center"/>
          </w:tcPr>
          <w:p>
            <w:pPr>
              <w:jc w:val="center"/>
              <w:rPr>
                <w:rFonts w:ascii="Times New Roman" w:hAnsi="Times New Roman" w:cs="Times New Roman"/>
                <w:sz w:val="18"/>
                <w:szCs w:val="18"/>
              </w:rPr>
            </w:pPr>
          </w:p>
        </w:tc>
        <w:tc>
          <w:tcPr>
            <w:tcW w:w="795" w:type="dxa"/>
            <w:vAlign w:val="center"/>
          </w:tcPr>
          <w:p>
            <w:pPr>
              <w:jc w:val="center"/>
              <w:rPr>
                <w:rFonts w:ascii="Times New Roman" w:hAnsi="Times New Roman" w:cs="Times New Roman"/>
                <w:sz w:val="18"/>
                <w:szCs w:val="18"/>
              </w:rPr>
            </w:pPr>
          </w:p>
        </w:tc>
        <w:tc>
          <w:tcPr>
            <w:tcW w:w="566"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T6210J1001</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体育(1)</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Physical Education(1)</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T6210J2001</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体育(2)</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Physical Education(2)</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5</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T6210J5001</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体育(3)</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Physical Education(3)</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0.5</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6</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T6210J6001</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体育(4)</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Physical Education(4)</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0.5</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7</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T6210J7001</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体育(5)</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Physical Education(4)</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T623KJ0001</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军事技能训练</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Military Skills Training</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夏1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9</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T6230J0001</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军事理论</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Military Theory and Training</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24</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12</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10</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T7210P0003</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思想道德修养与法律基础</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Ethics and Essentials of Laws</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13"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11</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T7210P0007</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中国近现代史纲要</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Outline of Contemporary Chinese History</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24</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13"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12</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T7210P0004</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毛泽东思想和中国特色社会主义理论体系概论</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Essentials of Mao Tsetung’s Thoughts, Deng Xiaoping’s Theories and the Three On-behalves</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6</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64</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13"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T7210P0002</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马克思主义基本原理</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General Principles of Marxism</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14</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T7210P1006</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形势与政策(1)</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Situation &amp;  Policy(1)</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0.5</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T7210P2006</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形势与政策(2)</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Situation &amp;  Policy(2)</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0.5</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T7210P3006</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形势与政策(3)</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Situation &amp;  Policy(3)</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0.5</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trPr>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17</w:t>
            </w:r>
          </w:p>
        </w:tc>
        <w:tc>
          <w:tcPr>
            <w:tcW w:w="1324" w:type="dxa"/>
            <w:vAlign w:val="center"/>
          </w:tcPr>
          <w:p>
            <w:pPr>
              <w:rPr>
                <w:rFonts w:ascii="Times New Roman" w:hAnsi="Times New Roman" w:cs="Times New Roman"/>
                <w:sz w:val="18"/>
                <w:szCs w:val="18"/>
              </w:rPr>
            </w:pPr>
            <w:r>
              <w:rPr>
                <w:rFonts w:ascii="Times New Roman" w:hAnsi="Times New Roman" w:cs="Times New Roman"/>
                <w:sz w:val="18"/>
                <w:szCs w:val="18"/>
              </w:rPr>
              <w:t>T7210P4006</w:t>
            </w:r>
          </w:p>
        </w:tc>
        <w:tc>
          <w:tcPr>
            <w:tcW w:w="1699" w:type="dxa"/>
            <w:vAlign w:val="center"/>
          </w:tcPr>
          <w:p>
            <w:pPr>
              <w:rPr>
                <w:rFonts w:ascii="仿宋" w:hAnsi="仿宋" w:eastAsia="仿宋" w:cs="仿宋"/>
                <w:sz w:val="20"/>
                <w:szCs w:val="20"/>
              </w:rPr>
            </w:pPr>
            <w:r>
              <w:rPr>
                <w:rFonts w:hint="eastAsia" w:ascii="仿宋" w:hAnsi="仿宋" w:eastAsia="仿宋" w:cs="仿宋"/>
                <w:sz w:val="20"/>
                <w:szCs w:val="20"/>
              </w:rPr>
              <w:t>形势与政策(4)</w:t>
            </w:r>
          </w:p>
        </w:tc>
        <w:tc>
          <w:tcPr>
            <w:tcW w:w="3070" w:type="dxa"/>
            <w:vAlign w:val="center"/>
          </w:tcPr>
          <w:p>
            <w:pPr>
              <w:rPr>
                <w:rFonts w:ascii="Times New Roman" w:hAnsi="Times New Roman" w:cs="Times New Roman"/>
                <w:sz w:val="18"/>
                <w:szCs w:val="18"/>
              </w:rPr>
            </w:pPr>
            <w:r>
              <w:rPr>
                <w:rFonts w:ascii="Times New Roman" w:hAnsi="Times New Roman" w:cs="Times New Roman"/>
                <w:sz w:val="18"/>
                <w:szCs w:val="18"/>
              </w:rPr>
              <w:t>Situation &amp;  Policy(4)</w:t>
            </w:r>
          </w:p>
        </w:tc>
        <w:tc>
          <w:tcPr>
            <w:tcW w:w="456" w:type="dxa"/>
            <w:vAlign w:val="center"/>
          </w:tcPr>
          <w:p>
            <w:pPr>
              <w:jc w:val="center"/>
              <w:rPr>
                <w:rFonts w:ascii="Times New Roman" w:hAnsi="Times New Roman" w:cs="Times New Roman"/>
                <w:sz w:val="18"/>
                <w:szCs w:val="18"/>
              </w:rPr>
            </w:pPr>
            <w:r>
              <w:rPr>
                <w:rFonts w:ascii="Times New Roman" w:hAnsi="Times New Roman" w:cs="Times New Roman"/>
                <w:sz w:val="18"/>
                <w:szCs w:val="18"/>
              </w:rPr>
              <w:t>0.5</w:t>
            </w:r>
          </w:p>
        </w:tc>
        <w:tc>
          <w:tcPr>
            <w:tcW w:w="492" w:type="dxa"/>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4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47"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95"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13" w:hRule="atLeast"/>
        </w:trPr>
        <w:tc>
          <w:tcPr>
            <w:tcW w:w="6659" w:type="dxa"/>
            <w:gridSpan w:val="4"/>
            <w:vAlign w:val="center"/>
          </w:tcPr>
          <w:p>
            <w:pPr>
              <w:jc w:val="center"/>
              <w:textAlignment w:val="center"/>
              <w:rPr>
                <w:rFonts w:ascii="Times New Roman" w:hAnsi="Times New Roman" w:cs="Times New Roman"/>
                <w:bCs/>
                <w:sz w:val="18"/>
                <w:szCs w:val="18"/>
              </w:rPr>
            </w:pPr>
            <w:r>
              <w:rPr>
                <w:rFonts w:hint="eastAsia" w:ascii="仿宋" w:hAnsi="仿宋" w:eastAsia="仿宋" w:cs="仿宋"/>
                <w:b/>
                <w:bCs/>
                <w:sz w:val="20"/>
                <w:szCs w:val="20"/>
              </w:rPr>
              <w:t>学分学时小计：</w:t>
            </w:r>
          </w:p>
        </w:tc>
        <w:tc>
          <w:tcPr>
            <w:tcW w:w="456" w:type="dxa"/>
            <w:vAlign w:val="center"/>
          </w:tcPr>
          <w:p>
            <w:pPr>
              <w:jc w:val="center"/>
              <w:textAlignment w:val="center"/>
              <w:rPr>
                <w:rFonts w:ascii="Times New Roman" w:hAnsi="Times New Roman" w:cs="Times New Roman"/>
                <w:b/>
                <w:bCs/>
                <w:sz w:val="18"/>
                <w:szCs w:val="18"/>
              </w:rPr>
            </w:pPr>
            <w:r>
              <w:rPr>
                <w:rFonts w:ascii="Times New Roman" w:hAnsi="Times New Roman" w:eastAsia="宋体" w:cs="Times New Roman"/>
                <w:sz w:val="18"/>
                <w:szCs w:val="18"/>
                <w:lang w:bidi="ar"/>
              </w:rPr>
              <w:t>29.5</w:t>
            </w:r>
          </w:p>
        </w:tc>
        <w:tc>
          <w:tcPr>
            <w:tcW w:w="492" w:type="dxa"/>
            <w:vAlign w:val="center"/>
          </w:tcPr>
          <w:p>
            <w:pPr>
              <w:jc w:val="center"/>
              <w:textAlignment w:val="center"/>
              <w:rPr>
                <w:rFonts w:ascii="Times New Roman" w:hAnsi="Times New Roman" w:cs="Times New Roman"/>
                <w:b/>
                <w:bCs/>
                <w:sz w:val="18"/>
                <w:szCs w:val="18"/>
              </w:rPr>
            </w:pPr>
            <w:r>
              <w:rPr>
                <w:rFonts w:ascii="Times New Roman" w:hAnsi="Times New Roman" w:eastAsia="宋体" w:cs="Times New Roman"/>
                <w:sz w:val="18"/>
                <w:szCs w:val="18"/>
                <w:lang w:bidi="ar"/>
              </w:rPr>
              <w:t>464</w:t>
            </w:r>
          </w:p>
        </w:tc>
        <w:tc>
          <w:tcPr>
            <w:tcW w:w="493" w:type="dxa"/>
            <w:vAlign w:val="center"/>
          </w:tcPr>
          <w:p>
            <w:pPr>
              <w:jc w:val="center"/>
              <w:textAlignment w:val="center"/>
              <w:rPr>
                <w:rFonts w:ascii="Times New Roman" w:hAnsi="Times New Roman" w:cs="Times New Roman"/>
                <w:b/>
                <w:bCs/>
                <w:sz w:val="18"/>
                <w:szCs w:val="18"/>
              </w:rPr>
            </w:pPr>
            <w:r>
              <w:rPr>
                <w:rFonts w:ascii="Times New Roman" w:hAnsi="Times New Roman" w:eastAsia="宋体" w:cs="Times New Roman"/>
                <w:sz w:val="18"/>
                <w:szCs w:val="18"/>
                <w:lang w:bidi="ar"/>
              </w:rPr>
              <w:t>84</w:t>
            </w:r>
          </w:p>
        </w:tc>
        <w:tc>
          <w:tcPr>
            <w:tcW w:w="547" w:type="dxa"/>
            <w:vAlign w:val="center"/>
          </w:tcPr>
          <w:p>
            <w:pPr>
              <w:jc w:val="center"/>
              <w:rPr>
                <w:rFonts w:ascii="Times New Roman" w:hAnsi="Times New Roman" w:cs="Times New Roman"/>
                <w:b/>
                <w:bCs/>
                <w:sz w:val="18"/>
                <w:szCs w:val="18"/>
              </w:rPr>
            </w:pPr>
          </w:p>
        </w:tc>
        <w:tc>
          <w:tcPr>
            <w:tcW w:w="795" w:type="dxa"/>
            <w:vAlign w:val="center"/>
          </w:tcPr>
          <w:p>
            <w:pPr>
              <w:jc w:val="center"/>
              <w:textAlignment w:val="center"/>
              <w:rPr>
                <w:rFonts w:ascii="Times New Roman" w:hAnsi="Times New Roman" w:cs="Times New Roman"/>
                <w:b/>
                <w:bCs/>
                <w:sz w:val="18"/>
                <w:szCs w:val="18"/>
              </w:rPr>
            </w:pPr>
            <w:r>
              <w:rPr>
                <w:rFonts w:ascii="Times New Roman" w:hAnsi="Times New Roman" w:eastAsia="宋体" w:cs="Times New Roman"/>
                <w:sz w:val="18"/>
                <w:szCs w:val="18"/>
                <w:lang w:bidi="ar"/>
              </w:rPr>
              <w:t>3</w:t>
            </w:r>
          </w:p>
        </w:tc>
        <w:tc>
          <w:tcPr>
            <w:tcW w:w="566" w:type="dxa"/>
            <w:vAlign w:val="center"/>
          </w:tcPr>
          <w:p>
            <w:pPr>
              <w:jc w:val="center"/>
              <w:rPr>
                <w:rFonts w:ascii="Times New Roman" w:hAnsi="Times New Roman" w:cs="Times New Roman"/>
                <w:b/>
                <w:bCs/>
                <w:sz w:val="18"/>
                <w:szCs w:val="18"/>
              </w:rPr>
            </w:pPr>
            <w:r>
              <w:rPr>
                <w:rFonts w:ascii="Times New Roman" w:hAnsi="Times New Roman" w:cs="Times New Roman"/>
                <w:b/>
                <w:bCs/>
                <w:sz w:val="18"/>
                <w:szCs w:val="18"/>
              </w:rPr>
              <w:t>　</w:t>
            </w:r>
          </w:p>
        </w:tc>
      </w:tr>
    </w:tbl>
    <w:p>
      <w:pPr>
        <w:spacing w:after="0" w:line="240" w:lineRule="auto"/>
        <w:jc w:val="both"/>
        <w:rPr>
          <w:rFonts w:ascii="仿宋" w:hAnsi="仿宋" w:eastAsia="仿宋" w:cs="仿宋"/>
          <w:sz w:val="26"/>
          <w:szCs w:val="26"/>
        </w:rPr>
      </w:pPr>
    </w:p>
    <w:p>
      <w:pPr>
        <w:numPr>
          <w:ilvl w:val="0"/>
          <w:numId w:val="6"/>
        </w:numPr>
        <w:spacing w:after="0" w:line="240" w:lineRule="auto"/>
        <w:jc w:val="both"/>
        <w:rPr>
          <w:rFonts w:ascii="仿宋" w:hAnsi="仿宋" w:eastAsia="仿宋" w:cs="仿宋"/>
          <w:sz w:val="26"/>
          <w:szCs w:val="26"/>
        </w:rPr>
      </w:pPr>
      <w:r>
        <w:rPr>
          <w:rFonts w:hint="eastAsia" w:ascii="仿宋" w:hAnsi="仿宋" w:eastAsia="仿宋" w:cs="仿宋"/>
          <w:sz w:val="26"/>
          <w:szCs w:val="26"/>
        </w:rPr>
        <w:t>学科基础课程</w:t>
      </w:r>
    </w:p>
    <w:tbl>
      <w:tblPr>
        <w:tblStyle w:val="7"/>
        <w:tblpPr w:leftFromText="180" w:rightFromText="180" w:vertAnchor="text" w:horzAnchor="page" w:tblpXSpec="center" w:tblpY="350"/>
        <w:tblOverlap w:val="never"/>
        <w:tblW w:w="98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17"/>
        <w:gridCol w:w="1950"/>
        <w:gridCol w:w="2673"/>
        <w:gridCol w:w="793"/>
        <w:gridCol w:w="700"/>
        <w:gridCol w:w="634"/>
        <w:gridCol w:w="766"/>
        <w:gridCol w:w="934"/>
        <w:gridCol w:w="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0" w:hRule="exact"/>
          <w:jc w:val="center"/>
        </w:trPr>
        <w:tc>
          <w:tcPr>
            <w:tcW w:w="817" w:type="dxa"/>
            <w:vMerge w:val="restart"/>
            <w:vAlign w:val="center"/>
          </w:tcPr>
          <w:p>
            <w:pPr>
              <w:jc w:val="center"/>
              <w:textAlignment w:val="center"/>
              <w:rPr>
                <w:rFonts w:ascii="Times New Roman" w:hAnsi="Times New Roman" w:cs="Times New Roman"/>
                <w:b/>
                <w:bCs/>
                <w:szCs w:val="21"/>
              </w:rPr>
            </w:pPr>
            <w:r>
              <w:rPr>
                <w:rFonts w:ascii="Times New Roman" w:hAnsi="Times New Roman" w:cs="Times New Roman"/>
                <w:b/>
                <w:szCs w:val="21"/>
              </w:rPr>
              <w:t>序号</w:t>
            </w:r>
          </w:p>
        </w:tc>
        <w:tc>
          <w:tcPr>
            <w:tcW w:w="1950" w:type="dxa"/>
            <w:vMerge w:val="restart"/>
            <w:vAlign w:val="center"/>
          </w:tcPr>
          <w:p>
            <w:pPr>
              <w:jc w:val="center"/>
              <w:textAlignment w:val="center"/>
              <w:rPr>
                <w:rFonts w:ascii="Times New Roman" w:hAnsi="Times New Roman" w:cs="Times New Roman"/>
                <w:b/>
                <w:bCs/>
                <w:szCs w:val="21"/>
              </w:rPr>
            </w:pPr>
            <w:r>
              <w:rPr>
                <w:rFonts w:ascii="Times New Roman" w:hAnsi="Times New Roman" w:cs="Times New Roman"/>
                <w:b/>
                <w:szCs w:val="21"/>
              </w:rPr>
              <w:t>课程名称</w:t>
            </w:r>
          </w:p>
        </w:tc>
        <w:tc>
          <w:tcPr>
            <w:tcW w:w="2673" w:type="dxa"/>
            <w:vMerge w:val="restart"/>
            <w:vAlign w:val="center"/>
          </w:tcPr>
          <w:p>
            <w:pPr>
              <w:jc w:val="center"/>
              <w:textAlignment w:val="center"/>
              <w:rPr>
                <w:rFonts w:ascii="Times New Roman" w:hAnsi="Times New Roman" w:cs="Times New Roman"/>
                <w:b/>
                <w:bCs/>
                <w:szCs w:val="21"/>
              </w:rPr>
            </w:pPr>
            <w:r>
              <w:rPr>
                <w:rFonts w:ascii="Times New Roman" w:hAnsi="Times New Roman" w:cs="Times New Roman"/>
                <w:b/>
                <w:szCs w:val="21"/>
              </w:rPr>
              <w:t>课程名称（英文）</w:t>
            </w:r>
          </w:p>
        </w:tc>
        <w:tc>
          <w:tcPr>
            <w:tcW w:w="793" w:type="dxa"/>
            <w:vMerge w:val="restart"/>
            <w:vAlign w:val="center"/>
          </w:tcPr>
          <w:p>
            <w:pPr>
              <w:jc w:val="center"/>
              <w:textAlignment w:val="center"/>
              <w:rPr>
                <w:rFonts w:ascii="Times New Roman" w:hAnsi="Times New Roman" w:cs="Times New Roman"/>
                <w:bCs/>
                <w:sz w:val="18"/>
                <w:szCs w:val="18"/>
              </w:rPr>
            </w:pPr>
            <w:r>
              <w:rPr>
                <w:rFonts w:ascii="Times New Roman" w:hAnsi="Times New Roman" w:cs="Times New Roman"/>
                <w:b/>
                <w:szCs w:val="21"/>
              </w:rPr>
              <w:t>学分</w:t>
            </w:r>
          </w:p>
        </w:tc>
        <w:tc>
          <w:tcPr>
            <w:tcW w:w="3034" w:type="dxa"/>
            <w:gridSpan w:val="4"/>
            <w:vAlign w:val="center"/>
          </w:tcPr>
          <w:p>
            <w:pPr>
              <w:jc w:val="center"/>
              <w:textAlignment w:val="center"/>
              <w:rPr>
                <w:rFonts w:ascii="Times New Roman" w:hAnsi="Times New Roman" w:cs="Times New Roman"/>
                <w:b/>
                <w:bCs/>
                <w:szCs w:val="21"/>
              </w:rPr>
            </w:pPr>
            <w:r>
              <w:rPr>
                <w:rFonts w:ascii="Times New Roman" w:hAnsi="Times New Roman" w:cs="Times New Roman"/>
                <w:b/>
                <w:szCs w:val="21"/>
              </w:rPr>
              <w:t>教学学时</w:t>
            </w:r>
          </w:p>
        </w:tc>
        <w:tc>
          <w:tcPr>
            <w:tcW w:w="550" w:type="dxa"/>
            <w:vMerge w:val="restart"/>
            <w:vAlign w:val="center"/>
          </w:tcPr>
          <w:p>
            <w:pPr>
              <w:jc w:val="center"/>
              <w:textAlignment w:val="center"/>
              <w:rPr>
                <w:rFonts w:ascii="Times New Roman" w:hAnsi="Times New Roman" w:cs="Times New Roman"/>
                <w:b/>
                <w:bCs/>
                <w:szCs w:val="21"/>
              </w:rPr>
            </w:pPr>
            <w:r>
              <w:rPr>
                <w:rFonts w:ascii="Times New Roman" w:hAnsi="Times New Roman" w:cs="Times New Roman"/>
                <w:b/>
                <w:szCs w:val="21"/>
              </w:rPr>
              <w:t>建议学期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0" w:hRule="exact"/>
          <w:jc w:val="center"/>
        </w:trPr>
        <w:tc>
          <w:tcPr>
            <w:tcW w:w="817" w:type="dxa"/>
            <w:vMerge w:val="continue"/>
            <w:vAlign w:val="center"/>
          </w:tcPr>
          <w:p>
            <w:pPr>
              <w:jc w:val="center"/>
              <w:rPr>
                <w:rFonts w:ascii="Times New Roman" w:hAnsi="Times New Roman" w:cs="Times New Roman"/>
                <w:b/>
                <w:bCs/>
                <w:szCs w:val="21"/>
              </w:rPr>
            </w:pPr>
          </w:p>
        </w:tc>
        <w:tc>
          <w:tcPr>
            <w:tcW w:w="1950" w:type="dxa"/>
            <w:vMerge w:val="continue"/>
            <w:vAlign w:val="center"/>
          </w:tcPr>
          <w:p>
            <w:pPr>
              <w:jc w:val="center"/>
              <w:rPr>
                <w:rFonts w:ascii="Times New Roman" w:hAnsi="Times New Roman" w:cs="Times New Roman"/>
                <w:b/>
                <w:bCs/>
                <w:szCs w:val="21"/>
              </w:rPr>
            </w:pPr>
          </w:p>
        </w:tc>
        <w:tc>
          <w:tcPr>
            <w:tcW w:w="2673" w:type="dxa"/>
            <w:vMerge w:val="continue"/>
            <w:vAlign w:val="center"/>
          </w:tcPr>
          <w:p>
            <w:pPr>
              <w:jc w:val="center"/>
              <w:rPr>
                <w:rFonts w:ascii="Times New Roman" w:hAnsi="Times New Roman" w:cs="Times New Roman"/>
                <w:b/>
                <w:bCs/>
                <w:szCs w:val="21"/>
              </w:rPr>
            </w:pPr>
          </w:p>
        </w:tc>
        <w:tc>
          <w:tcPr>
            <w:tcW w:w="793" w:type="dxa"/>
            <w:vMerge w:val="continue"/>
            <w:vAlign w:val="center"/>
          </w:tcPr>
          <w:p>
            <w:pPr>
              <w:jc w:val="center"/>
              <w:rPr>
                <w:rFonts w:ascii="Times New Roman" w:hAnsi="Times New Roman" w:cs="Times New Roman"/>
                <w:bCs/>
                <w:sz w:val="18"/>
                <w:szCs w:val="18"/>
              </w:rPr>
            </w:pPr>
          </w:p>
        </w:tc>
        <w:tc>
          <w:tcPr>
            <w:tcW w:w="1334" w:type="dxa"/>
            <w:gridSpan w:val="2"/>
            <w:vAlign w:val="center"/>
          </w:tcPr>
          <w:p>
            <w:pPr>
              <w:jc w:val="center"/>
              <w:textAlignment w:val="center"/>
              <w:rPr>
                <w:rFonts w:ascii="Times New Roman" w:hAnsi="Times New Roman" w:cs="Times New Roman"/>
                <w:b/>
                <w:bCs/>
                <w:szCs w:val="21"/>
              </w:rPr>
            </w:pPr>
            <w:r>
              <w:rPr>
                <w:rFonts w:ascii="Times New Roman" w:hAnsi="Times New Roman" w:cs="Times New Roman"/>
                <w:b/>
                <w:szCs w:val="21"/>
              </w:rPr>
              <w:t>理论</w:t>
            </w:r>
          </w:p>
        </w:tc>
        <w:tc>
          <w:tcPr>
            <w:tcW w:w="766" w:type="dxa"/>
            <w:vMerge w:val="restart"/>
            <w:vAlign w:val="center"/>
          </w:tcPr>
          <w:p>
            <w:pPr>
              <w:jc w:val="center"/>
              <w:textAlignment w:val="center"/>
              <w:rPr>
                <w:rFonts w:ascii="Times New Roman" w:hAnsi="Times New Roman" w:cs="Times New Roman"/>
                <w:b/>
                <w:bCs/>
                <w:szCs w:val="21"/>
              </w:rPr>
            </w:pPr>
            <w:r>
              <w:rPr>
                <w:rFonts w:ascii="Times New Roman" w:hAnsi="Times New Roman" w:cs="Times New Roman"/>
                <w:b/>
                <w:szCs w:val="21"/>
              </w:rPr>
              <w:t>实验</w:t>
            </w:r>
          </w:p>
        </w:tc>
        <w:tc>
          <w:tcPr>
            <w:tcW w:w="934" w:type="dxa"/>
            <w:vMerge w:val="restart"/>
            <w:vAlign w:val="center"/>
          </w:tcPr>
          <w:p>
            <w:pPr>
              <w:jc w:val="center"/>
              <w:textAlignment w:val="center"/>
              <w:rPr>
                <w:rFonts w:ascii="Times New Roman" w:hAnsi="Times New Roman" w:cs="Times New Roman"/>
                <w:b/>
                <w:bCs/>
                <w:szCs w:val="21"/>
              </w:rPr>
            </w:pPr>
            <w:r>
              <w:rPr>
                <w:rFonts w:ascii="Times New Roman" w:hAnsi="Times New Roman" w:cs="Times New Roman"/>
                <w:b/>
                <w:szCs w:val="21"/>
              </w:rPr>
              <w:t>实践（周）</w:t>
            </w:r>
          </w:p>
        </w:tc>
        <w:tc>
          <w:tcPr>
            <w:tcW w:w="550" w:type="dxa"/>
            <w:vMerge w:val="continue"/>
            <w:vAlign w:val="center"/>
          </w:tcPr>
          <w:p>
            <w:pPr>
              <w:jc w:val="center"/>
              <w:rPr>
                <w:rFonts w:ascii="Times New Roman" w:hAnsi="Times New Roman" w:cs="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exact"/>
          <w:jc w:val="center"/>
        </w:trPr>
        <w:tc>
          <w:tcPr>
            <w:tcW w:w="817" w:type="dxa"/>
            <w:vMerge w:val="continue"/>
            <w:vAlign w:val="center"/>
          </w:tcPr>
          <w:p>
            <w:pPr>
              <w:jc w:val="center"/>
              <w:rPr>
                <w:rFonts w:ascii="Times New Roman" w:hAnsi="Times New Roman" w:cs="Times New Roman"/>
                <w:b/>
                <w:bCs/>
                <w:szCs w:val="21"/>
              </w:rPr>
            </w:pPr>
          </w:p>
        </w:tc>
        <w:tc>
          <w:tcPr>
            <w:tcW w:w="1950" w:type="dxa"/>
            <w:vMerge w:val="continue"/>
            <w:vAlign w:val="center"/>
          </w:tcPr>
          <w:p>
            <w:pPr>
              <w:jc w:val="center"/>
              <w:rPr>
                <w:rFonts w:ascii="Times New Roman" w:hAnsi="Times New Roman" w:cs="Times New Roman"/>
                <w:b/>
                <w:bCs/>
                <w:szCs w:val="21"/>
              </w:rPr>
            </w:pPr>
          </w:p>
        </w:tc>
        <w:tc>
          <w:tcPr>
            <w:tcW w:w="2673" w:type="dxa"/>
            <w:vMerge w:val="continue"/>
            <w:vAlign w:val="center"/>
          </w:tcPr>
          <w:p>
            <w:pPr>
              <w:jc w:val="center"/>
              <w:rPr>
                <w:rFonts w:ascii="Times New Roman" w:hAnsi="Times New Roman" w:cs="Times New Roman"/>
                <w:b/>
                <w:bCs/>
                <w:szCs w:val="21"/>
              </w:rPr>
            </w:pPr>
          </w:p>
        </w:tc>
        <w:tc>
          <w:tcPr>
            <w:tcW w:w="793" w:type="dxa"/>
            <w:vMerge w:val="continue"/>
            <w:vAlign w:val="center"/>
          </w:tcPr>
          <w:p>
            <w:pPr>
              <w:jc w:val="center"/>
              <w:rPr>
                <w:rFonts w:ascii="Times New Roman" w:hAnsi="Times New Roman" w:cs="Times New Roman"/>
                <w:bCs/>
                <w:sz w:val="18"/>
                <w:szCs w:val="18"/>
              </w:rPr>
            </w:pPr>
          </w:p>
        </w:tc>
        <w:tc>
          <w:tcPr>
            <w:tcW w:w="700" w:type="dxa"/>
            <w:vAlign w:val="center"/>
          </w:tcPr>
          <w:p>
            <w:pPr>
              <w:jc w:val="center"/>
              <w:textAlignment w:val="center"/>
              <w:rPr>
                <w:rFonts w:ascii="Times New Roman" w:hAnsi="Times New Roman" w:cs="Times New Roman"/>
                <w:b/>
                <w:bCs/>
                <w:szCs w:val="21"/>
              </w:rPr>
            </w:pPr>
            <w:r>
              <w:rPr>
                <w:rFonts w:ascii="Times New Roman" w:hAnsi="Times New Roman" w:cs="Times New Roman"/>
                <w:b/>
                <w:szCs w:val="21"/>
              </w:rPr>
              <w:t>课内</w:t>
            </w:r>
          </w:p>
        </w:tc>
        <w:tc>
          <w:tcPr>
            <w:tcW w:w="634" w:type="dxa"/>
            <w:vAlign w:val="center"/>
          </w:tcPr>
          <w:p>
            <w:pPr>
              <w:jc w:val="center"/>
              <w:textAlignment w:val="center"/>
              <w:rPr>
                <w:rFonts w:ascii="Times New Roman" w:hAnsi="Times New Roman" w:cs="Times New Roman"/>
                <w:b/>
                <w:bCs/>
                <w:szCs w:val="21"/>
              </w:rPr>
            </w:pPr>
            <w:r>
              <w:rPr>
                <w:rFonts w:ascii="Times New Roman" w:hAnsi="Times New Roman" w:cs="Times New Roman"/>
                <w:b/>
                <w:szCs w:val="21"/>
              </w:rPr>
              <w:t>课外</w:t>
            </w:r>
          </w:p>
        </w:tc>
        <w:tc>
          <w:tcPr>
            <w:tcW w:w="766" w:type="dxa"/>
            <w:vMerge w:val="continue"/>
            <w:vAlign w:val="center"/>
          </w:tcPr>
          <w:p>
            <w:pPr>
              <w:jc w:val="center"/>
              <w:rPr>
                <w:rFonts w:ascii="Times New Roman" w:hAnsi="Times New Roman" w:cs="Times New Roman"/>
                <w:b/>
                <w:bCs/>
                <w:szCs w:val="21"/>
              </w:rPr>
            </w:pPr>
          </w:p>
        </w:tc>
        <w:tc>
          <w:tcPr>
            <w:tcW w:w="934" w:type="dxa"/>
            <w:vMerge w:val="continue"/>
            <w:vAlign w:val="center"/>
          </w:tcPr>
          <w:p>
            <w:pPr>
              <w:jc w:val="center"/>
              <w:rPr>
                <w:rFonts w:ascii="Times New Roman" w:hAnsi="Times New Roman" w:cs="Times New Roman"/>
                <w:b/>
                <w:bCs/>
                <w:szCs w:val="21"/>
              </w:rPr>
            </w:pPr>
          </w:p>
        </w:tc>
        <w:tc>
          <w:tcPr>
            <w:tcW w:w="550" w:type="dxa"/>
            <w:vMerge w:val="continue"/>
            <w:vAlign w:val="center"/>
          </w:tcPr>
          <w:p>
            <w:pPr>
              <w:jc w:val="center"/>
              <w:rPr>
                <w:rFonts w:ascii="Times New Roman" w:hAnsi="Times New Roman" w:cs="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组织学与组织病理学</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Histology &amp; Embryology</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人体细胞</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Human Cells</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64</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个人发展规划(1)</w:t>
            </w:r>
          </w:p>
        </w:tc>
        <w:tc>
          <w:tcPr>
            <w:tcW w:w="2673" w:type="dxa"/>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Academic and Clinical Skills(1)</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20</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个人发展规划(2)</w:t>
            </w:r>
          </w:p>
        </w:tc>
        <w:tc>
          <w:tcPr>
            <w:tcW w:w="2673" w:type="dxa"/>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Academic and Clinical Skills(2)</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20</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12</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5</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生理学</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Physiology</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64</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48</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6</w:t>
            </w:r>
          </w:p>
        </w:tc>
        <w:tc>
          <w:tcPr>
            <w:tcW w:w="1950" w:type="dxa"/>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基础医学遗传学</w:t>
            </w:r>
          </w:p>
        </w:tc>
        <w:tc>
          <w:tcPr>
            <w:tcW w:w="2673" w:type="dxa"/>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Basic Medical Genetics</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64</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7</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人体解剖学</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Human Anatomy</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64</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1950" w:type="dxa"/>
            <w:shd w:val="clear" w:color="auto" w:fill="FFFFFF"/>
            <w:vAlign w:val="center"/>
          </w:tcPr>
          <w:p>
            <w:pPr>
              <w:rPr>
                <w:rFonts w:ascii="仿宋" w:hAnsi="仿宋" w:eastAsia="仿宋" w:cs="仿宋"/>
                <w:sz w:val="20"/>
                <w:szCs w:val="20"/>
              </w:rPr>
            </w:pPr>
            <w:r>
              <w:rPr>
                <w:rFonts w:hint="eastAsia" w:ascii="仿宋" w:hAnsi="仿宋" w:eastAsia="仿宋" w:cs="仿宋"/>
                <w:sz w:val="20"/>
                <w:szCs w:val="20"/>
              </w:rPr>
              <w:t>人体解剖学Ⅰ</w:t>
            </w:r>
          </w:p>
        </w:tc>
        <w:tc>
          <w:tcPr>
            <w:tcW w:w="2673" w:type="dxa"/>
            <w:shd w:val="clear" w:color="auto" w:fill="FFFFFF"/>
            <w:vAlign w:val="center"/>
          </w:tcPr>
          <w:p>
            <w:pPr>
              <w:rPr>
                <w:rFonts w:ascii="Times New Roman" w:hAnsi="Times New Roman" w:cs="Times New Roman"/>
                <w:sz w:val="18"/>
                <w:szCs w:val="18"/>
              </w:rPr>
            </w:pPr>
            <w:r>
              <w:rPr>
                <w:rFonts w:ascii="Times New Roman" w:hAnsi="Times New Roman" w:cs="Times New Roman"/>
                <w:sz w:val="18"/>
                <w:szCs w:val="18"/>
              </w:rPr>
              <w:t>Human Anatomy Ⅰ</w:t>
            </w:r>
          </w:p>
        </w:tc>
        <w:tc>
          <w:tcPr>
            <w:tcW w:w="793"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6</w:t>
            </w:r>
          </w:p>
        </w:tc>
        <w:tc>
          <w:tcPr>
            <w:tcW w:w="700"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40</w:t>
            </w:r>
          </w:p>
        </w:tc>
        <w:tc>
          <w:tcPr>
            <w:tcW w:w="634"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66"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112</w:t>
            </w:r>
          </w:p>
        </w:tc>
        <w:tc>
          <w:tcPr>
            <w:tcW w:w="934"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夏2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9</w:t>
            </w:r>
          </w:p>
        </w:tc>
        <w:tc>
          <w:tcPr>
            <w:tcW w:w="1950" w:type="dxa"/>
            <w:shd w:val="clear" w:color="auto" w:fill="FFFFFF"/>
            <w:vAlign w:val="center"/>
          </w:tcPr>
          <w:p>
            <w:pPr>
              <w:rPr>
                <w:rFonts w:ascii="仿宋" w:hAnsi="仿宋" w:eastAsia="仿宋" w:cs="仿宋"/>
                <w:sz w:val="20"/>
                <w:szCs w:val="20"/>
              </w:rPr>
            </w:pPr>
            <w:r>
              <w:rPr>
                <w:rFonts w:hint="eastAsia" w:ascii="仿宋" w:hAnsi="仿宋" w:eastAsia="仿宋" w:cs="仿宋"/>
                <w:sz w:val="20"/>
                <w:szCs w:val="20"/>
              </w:rPr>
              <w:t>病理生理学</w:t>
            </w:r>
          </w:p>
        </w:tc>
        <w:tc>
          <w:tcPr>
            <w:tcW w:w="2673" w:type="dxa"/>
            <w:shd w:val="clear" w:color="auto" w:fill="FFFFFF"/>
            <w:vAlign w:val="center"/>
          </w:tcPr>
          <w:p>
            <w:pPr>
              <w:rPr>
                <w:rFonts w:ascii="Times New Roman" w:hAnsi="Times New Roman" w:cs="Times New Roman"/>
                <w:sz w:val="18"/>
                <w:szCs w:val="18"/>
              </w:rPr>
            </w:pPr>
            <w:r>
              <w:rPr>
                <w:rFonts w:ascii="Times New Roman" w:hAnsi="Times New Roman" w:cs="Times New Roman"/>
                <w:sz w:val="18"/>
                <w:szCs w:val="18"/>
              </w:rPr>
              <w:t>Pathophysiology</w:t>
            </w:r>
          </w:p>
        </w:tc>
        <w:tc>
          <w:tcPr>
            <w:tcW w:w="793"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c>
          <w:tcPr>
            <w:tcW w:w="700"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28</w:t>
            </w:r>
          </w:p>
        </w:tc>
        <w:tc>
          <w:tcPr>
            <w:tcW w:w="634"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66"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934"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夏2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10</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生命生物分子</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Biomolecules of Life</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64</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11</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神经生物学基础</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Fundamentals of Neurobiology</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64</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12</w:t>
            </w:r>
          </w:p>
        </w:tc>
        <w:tc>
          <w:tcPr>
            <w:tcW w:w="1950" w:type="dxa"/>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诊断与个性化医学教学</w:t>
            </w:r>
          </w:p>
        </w:tc>
        <w:tc>
          <w:tcPr>
            <w:tcW w:w="2673" w:type="dxa"/>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Techniques in diagnostics and personalised medicine</w:t>
            </w:r>
          </w:p>
        </w:tc>
        <w:tc>
          <w:tcPr>
            <w:tcW w:w="793"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2.75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634" w:type="dxa"/>
            <w:vAlign w:val="center"/>
          </w:tcPr>
          <w:p>
            <w:pPr>
              <w:jc w:val="center"/>
              <w:rPr>
                <w:rFonts w:ascii="Times New Roman" w:hAnsi="Times New Roman" w:eastAsia="宋体" w:cs="Times New Roman"/>
                <w:sz w:val="18"/>
                <w:szCs w:val="18"/>
              </w:rPr>
            </w:pPr>
            <w:r>
              <w:rPr>
                <w:rFonts w:hint="eastAsia" w:ascii="Times New Roman" w:hAnsi="Times New Roman" w:cs="Times New Roman"/>
                <w:sz w:val="18"/>
                <w:szCs w:val="18"/>
              </w:rPr>
              <w:t>8</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w:t>
            </w:r>
          </w:p>
        </w:tc>
        <w:tc>
          <w:tcPr>
            <w:tcW w:w="1950" w:type="dxa"/>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病原生物学(Ⅰ)(医学微生物学)</w:t>
            </w:r>
          </w:p>
        </w:tc>
        <w:tc>
          <w:tcPr>
            <w:tcW w:w="2673" w:type="dxa"/>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Pathogenic Organisms(</w:t>
            </w:r>
            <w:r>
              <w:rPr>
                <w:rFonts w:hint="eastAsia" w:ascii="宋体" w:hAnsi="宋体" w:eastAsia="宋体" w:cs="宋体"/>
                <w:sz w:val="18"/>
                <w:szCs w:val="18"/>
                <w:lang w:bidi="ar"/>
              </w:rPr>
              <w:t>Ⅰ</w:t>
            </w:r>
            <w:r>
              <w:rPr>
                <w:rFonts w:ascii="Times New Roman" w:hAnsi="Times New Roman" w:eastAsia="宋体" w:cs="Times New Roman"/>
                <w:sz w:val="18"/>
                <w:szCs w:val="18"/>
                <w:lang w:bidi="ar"/>
              </w:rPr>
              <w:t>)  Medical Microbiology</w:t>
            </w:r>
          </w:p>
        </w:tc>
        <w:tc>
          <w:tcPr>
            <w:tcW w:w="793"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44</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14</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个人发展规划(3)</w:t>
            </w:r>
          </w:p>
        </w:tc>
        <w:tc>
          <w:tcPr>
            <w:tcW w:w="2673" w:type="dxa"/>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Academic and Clinical Skills (3)</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20</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个人发展规划(4)</w:t>
            </w:r>
          </w:p>
        </w:tc>
        <w:tc>
          <w:tcPr>
            <w:tcW w:w="2673" w:type="dxa"/>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Academic and Clinicak Skills (4)</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20</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12</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1950" w:type="dxa"/>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临床化学</w:t>
            </w:r>
          </w:p>
        </w:tc>
        <w:tc>
          <w:tcPr>
            <w:tcW w:w="2673" w:type="dxa"/>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Clinical Chemistry</w:t>
            </w:r>
          </w:p>
        </w:tc>
        <w:tc>
          <w:tcPr>
            <w:tcW w:w="793"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2.75</w:t>
            </w:r>
          </w:p>
        </w:tc>
        <w:tc>
          <w:tcPr>
            <w:tcW w:w="700"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32</w:t>
            </w:r>
          </w:p>
        </w:tc>
        <w:tc>
          <w:tcPr>
            <w:tcW w:w="634"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766"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17</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分子临床微生物学</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Molecular Clinical Microbiology</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64</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18</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基础免疫学</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Basic Immunology</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64</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19</w:t>
            </w:r>
          </w:p>
        </w:tc>
        <w:tc>
          <w:tcPr>
            <w:tcW w:w="1950" w:type="dxa"/>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基础和应用药理学</w:t>
            </w:r>
          </w:p>
        </w:tc>
        <w:tc>
          <w:tcPr>
            <w:tcW w:w="2673" w:type="dxa"/>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 xml:space="preserve">Basic and applied pharmacology            </w:t>
            </w:r>
          </w:p>
        </w:tc>
        <w:tc>
          <w:tcPr>
            <w:tcW w:w="793"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5.5</w:t>
            </w:r>
          </w:p>
        </w:tc>
        <w:tc>
          <w:tcPr>
            <w:tcW w:w="700"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64</w:t>
            </w:r>
          </w:p>
        </w:tc>
        <w:tc>
          <w:tcPr>
            <w:tcW w:w="634"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66"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20</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细胞生物学和发育遗传学</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Cell Biology and Developmental Genetics</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64</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cs="Times New Roman"/>
                <w:sz w:val="18"/>
                <w:szCs w:val="18"/>
              </w:rPr>
            </w:pPr>
            <w:r>
              <w:rPr>
                <w:rFonts w:ascii="Times New Roman" w:hAnsi="Times New Roman" w:cs="Times New Roman"/>
                <w:sz w:val="18"/>
                <w:szCs w:val="18"/>
              </w:rPr>
              <w:t>21</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医学统计学</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Medical Statistics</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eastAsia="宋体" w:cs="Times New Roman"/>
                <w:sz w:val="18"/>
                <w:szCs w:val="18"/>
              </w:rPr>
            </w:pPr>
            <w:r>
              <w:rPr>
                <w:rFonts w:ascii="Times New Roman" w:hAnsi="Times New Roman" w:cs="Times New Roman"/>
                <w:sz w:val="18"/>
                <w:szCs w:val="18"/>
              </w:rPr>
              <w:t>2</w:t>
            </w:r>
            <w:r>
              <w:rPr>
                <w:rFonts w:hint="eastAsia" w:ascii="Times New Roman" w:hAnsi="Times New Roman" w:cs="Times New Roman"/>
                <w:sz w:val="18"/>
                <w:szCs w:val="18"/>
              </w:rPr>
              <w:t>2</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全科医学</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General Medicine Practice</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夏4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eastAsia="宋体" w:cs="Times New Roman"/>
                <w:sz w:val="18"/>
                <w:szCs w:val="18"/>
              </w:rPr>
            </w:pPr>
            <w:r>
              <w:rPr>
                <w:rFonts w:ascii="Times New Roman" w:hAnsi="Times New Roman" w:cs="Times New Roman"/>
                <w:sz w:val="18"/>
                <w:szCs w:val="18"/>
              </w:rPr>
              <w:t>2</w:t>
            </w:r>
            <w:r>
              <w:rPr>
                <w:rFonts w:hint="eastAsia" w:ascii="Times New Roman" w:hAnsi="Times New Roman" w:cs="Times New Roman"/>
                <w:sz w:val="18"/>
                <w:szCs w:val="18"/>
              </w:rPr>
              <w:t>3</w:t>
            </w:r>
          </w:p>
        </w:tc>
        <w:tc>
          <w:tcPr>
            <w:tcW w:w="1950" w:type="dxa"/>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诊断学(Ⅰ)</w:t>
            </w:r>
          </w:p>
        </w:tc>
        <w:tc>
          <w:tcPr>
            <w:tcW w:w="2673" w:type="dxa"/>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Diagnostics(Ⅰ)</w:t>
            </w:r>
          </w:p>
        </w:tc>
        <w:tc>
          <w:tcPr>
            <w:tcW w:w="793"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4.5</w:t>
            </w:r>
          </w:p>
        </w:tc>
        <w:tc>
          <w:tcPr>
            <w:tcW w:w="700"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72</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eastAsia="宋体" w:cs="Times New Roman"/>
                <w:sz w:val="18"/>
                <w:szCs w:val="18"/>
              </w:rPr>
            </w:pPr>
            <w:r>
              <w:rPr>
                <w:rFonts w:hint="eastAsia" w:ascii="Times New Roman" w:hAnsi="Times New Roman" w:cs="Times New Roman"/>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eastAsia="宋体" w:cs="Times New Roman"/>
                <w:sz w:val="18"/>
                <w:szCs w:val="18"/>
              </w:rPr>
            </w:pPr>
            <w:r>
              <w:rPr>
                <w:rFonts w:ascii="Times New Roman" w:hAnsi="Times New Roman" w:cs="Times New Roman"/>
                <w:sz w:val="18"/>
                <w:szCs w:val="18"/>
              </w:rPr>
              <w:t>2</w:t>
            </w:r>
            <w:r>
              <w:rPr>
                <w:rFonts w:hint="eastAsia" w:ascii="Times New Roman" w:hAnsi="Times New Roman" w:cs="Times New Roman"/>
                <w:sz w:val="18"/>
                <w:szCs w:val="18"/>
              </w:rPr>
              <w:t>4</w:t>
            </w:r>
          </w:p>
        </w:tc>
        <w:tc>
          <w:tcPr>
            <w:tcW w:w="1950" w:type="dxa"/>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外科学总论(Ⅰ)</w:t>
            </w:r>
          </w:p>
        </w:tc>
        <w:tc>
          <w:tcPr>
            <w:tcW w:w="2673" w:type="dxa"/>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Surgery(Ⅰ)</w:t>
            </w:r>
          </w:p>
        </w:tc>
        <w:tc>
          <w:tcPr>
            <w:tcW w:w="793"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w:t>
            </w:r>
          </w:p>
        </w:tc>
        <w:tc>
          <w:tcPr>
            <w:tcW w:w="700"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40</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27</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eastAsia="宋体" w:cs="Times New Roman"/>
                <w:sz w:val="18"/>
                <w:szCs w:val="18"/>
              </w:rPr>
            </w:pPr>
            <w:r>
              <w:rPr>
                <w:rFonts w:hint="eastAsia" w:ascii="Times New Roman" w:hAnsi="Times New Roman" w:cs="Times New Roman"/>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817" w:type="dxa"/>
            <w:vAlign w:val="center"/>
          </w:tcPr>
          <w:p>
            <w:pPr>
              <w:jc w:val="center"/>
              <w:rPr>
                <w:rFonts w:ascii="Times New Roman" w:hAnsi="Times New Roman" w:eastAsia="宋体" w:cs="Times New Roman"/>
                <w:sz w:val="18"/>
                <w:szCs w:val="18"/>
              </w:rPr>
            </w:pPr>
            <w:r>
              <w:rPr>
                <w:rFonts w:ascii="Times New Roman" w:hAnsi="Times New Roman" w:cs="Times New Roman"/>
                <w:sz w:val="18"/>
                <w:szCs w:val="18"/>
              </w:rPr>
              <w:t>2</w:t>
            </w:r>
            <w:r>
              <w:rPr>
                <w:rFonts w:hint="eastAsia" w:ascii="Times New Roman" w:hAnsi="Times New Roman" w:cs="Times New Roman"/>
                <w:sz w:val="18"/>
                <w:szCs w:val="18"/>
              </w:rPr>
              <w:t>5</w:t>
            </w:r>
          </w:p>
        </w:tc>
        <w:tc>
          <w:tcPr>
            <w:tcW w:w="1950" w:type="dxa"/>
            <w:vAlign w:val="center"/>
          </w:tcPr>
          <w:p>
            <w:pPr>
              <w:rPr>
                <w:rFonts w:ascii="仿宋" w:hAnsi="仿宋" w:eastAsia="仿宋" w:cs="仿宋"/>
                <w:sz w:val="20"/>
                <w:szCs w:val="20"/>
              </w:rPr>
            </w:pPr>
            <w:r>
              <w:rPr>
                <w:rFonts w:hint="eastAsia" w:ascii="仿宋" w:hAnsi="仿宋" w:eastAsia="仿宋" w:cs="仿宋"/>
                <w:sz w:val="20"/>
                <w:szCs w:val="20"/>
              </w:rPr>
              <w:t>预防医学</w:t>
            </w:r>
          </w:p>
        </w:tc>
        <w:tc>
          <w:tcPr>
            <w:tcW w:w="2673" w:type="dxa"/>
            <w:vAlign w:val="center"/>
          </w:tcPr>
          <w:p>
            <w:pPr>
              <w:rPr>
                <w:rFonts w:ascii="Times New Roman" w:hAnsi="Times New Roman" w:cs="Times New Roman"/>
                <w:sz w:val="18"/>
                <w:szCs w:val="18"/>
              </w:rPr>
            </w:pPr>
            <w:r>
              <w:rPr>
                <w:rFonts w:ascii="Times New Roman" w:hAnsi="Times New Roman" w:cs="Times New Roman"/>
                <w:sz w:val="18"/>
                <w:szCs w:val="18"/>
              </w:rPr>
              <w:t>Preventive Medicine</w:t>
            </w:r>
          </w:p>
        </w:tc>
        <w:tc>
          <w:tcPr>
            <w:tcW w:w="793" w:type="dxa"/>
            <w:vAlign w:val="center"/>
          </w:tcPr>
          <w:p>
            <w:pPr>
              <w:jc w:val="center"/>
              <w:rPr>
                <w:rFonts w:ascii="Times New Roman" w:hAnsi="Times New Roman" w:cs="Times New Roman"/>
                <w:sz w:val="18"/>
                <w:szCs w:val="18"/>
              </w:rPr>
            </w:pPr>
            <w:r>
              <w:rPr>
                <w:rFonts w:ascii="Times New Roman" w:hAnsi="Times New Roman" w:cs="Times New Roman"/>
                <w:sz w:val="18"/>
                <w:szCs w:val="18"/>
              </w:rPr>
              <w:t>4.5</w:t>
            </w:r>
          </w:p>
        </w:tc>
        <w:tc>
          <w:tcPr>
            <w:tcW w:w="700" w:type="dxa"/>
            <w:vAlign w:val="center"/>
          </w:tcPr>
          <w:p>
            <w:pPr>
              <w:jc w:val="center"/>
              <w:rPr>
                <w:rFonts w:ascii="Times New Roman" w:hAnsi="Times New Roman" w:cs="Times New Roman"/>
                <w:sz w:val="18"/>
                <w:szCs w:val="18"/>
              </w:rPr>
            </w:pPr>
            <w:r>
              <w:rPr>
                <w:rFonts w:ascii="Times New Roman" w:hAnsi="Times New Roman" w:cs="Times New Roman"/>
                <w:sz w:val="18"/>
                <w:szCs w:val="18"/>
              </w:rPr>
              <w:t>60</w:t>
            </w:r>
          </w:p>
        </w:tc>
        <w:tc>
          <w:tcPr>
            <w:tcW w:w="6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66" w:type="dxa"/>
            <w:vAlign w:val="center"/>
          </w:tcPr>
          <w:p>
            <w:pPr>
              <w:jc w:val="center"/>
              <w:rPr>
                <w:rFonts w:ascii="Times New Roman" w:hAnsi="Times New Roman" w:cs="Times New Roman"/>
                <w:sz w:val="18"/>
                <w:szCs w:val="18"/>
              </w:rPr>
            </w:pPr>
            <w:r>
              <w:rPr>
                <w:rFonts w:ascii="Times New Roman" w:hAnsi="Times New Roman" w:cs="Times New Roman"/>
                <w:sz w:val="18"/>
                <w:szCs w:val="18"/>
              </w:rPr>
              <w:t>24</w:t>
            </w:r>
          </w:p>
        </w:tc>
        <w:tc>
          <w:tcPr>
            <w:tcW w:w="934" w:type="dxa"/>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50" w:type="dxa"/>
            <w:vAlign w:val="center"/>
          </w:tcPr>
          <w:p>
            <w:pPr>
              <w:jc w:val="center"/>
              <w:rPr>
                <w:rFonts w:ascii="Times New Roman" w:hAnsi="Times New Roman" w:cs="Times New Roman"/>
                <w:sz w:val="18"/>
                <w:szCs w:val="18"/>
              </w:rPr>
            </w:pPr>
            <w:r>
              <w:rPr>
                <w:rFonts w:ascii="Times New Roman" w:hAnsi="Times New Roman" w:cs="Times New Roman"/>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0" w:hRule="atLeast"/>
          <w:jc w:val="center"/>
        </w:trPr>
        <w:tc>
          <w:tcPr>
            <w:tcW w:w="5440" w:type="dxa"/>
            <w:gridSpan w:val="3"/>
            <w:vAlign w:val="center"/>
          </w:tcPr>
          <w:p>
            <w:pPr>
              <w:jc w:val="center"/>
              <w:rPr>
                <w:rFonts w:ascii="Times New Roman" w:hAnsi="Times New Roman" w:cs="Times New Roman"/>
                <w:b/>
                <w:bCs/>
                <w:sz w:val="18"/>
                <w:szCs w:val="18"/>
              </w:rPr>
            </w:pPr>
            <w:r>
              <w:rPr>
                <w:rFonts w:hint="eastAsia" w:ascii="仿宋" w:hAnsi="仿宋" w:eastAsia="仿宋" w:cs="仿宋"/>
                <w:b/>
                <w:bCs/>
                <w:sz w:val="20"/>
                <w:szCs w:val="20"/>
              </w:rPr>
              <w:t>学分学时小计：</w:t>
            </w:r>
          </w:p>
        </w:tc>
        <w:tc>
          <w:tcPr>
            <w:tcW w:w="793"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96.5</w:t>
            </w:r>
          </w:p>
        </w:tc>
        <w:tc>
          <w:tcPr>
            <w:tcW w:w="700"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1132</w:t>
            </w:r>
          </w:p>
        </w:tc>
        <w:tc>
          <w:tcPr>
            <w:tcW w:w="634"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192</w:t>
            </w:r>
          </w:p>
        </w:tc>
        <w:tc>
          <w:tcPr>
            <w:tcW w:w="766"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451</w:t>
            </w:r>
          </w:p>
        </w:tc>
        <w:tc>
          <w:tcPr>
            <w:tcW w:w="934" w:type="dxa"/>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0</w:t>
            </w:r>
          </w:p>
        </w:tc>
        <w:tc>
          <w:tcPr>
            <w:tcW w:w="550" w:type="dxa"/>
            <w:vAlign w:val="center"/>
          </w:tcPr>
          <w:p>
            <w:pPr>
              <w:jc w:val="center"/>
              <w:rPr>
                <w:rFonts w:ascii="Times New Roman" w:hAnsi="Times New Roman" w:cs="Times New Roman"/>
                <w:sz w:val="18"/>
                <w:szCs w:val="18"/>
              </w:rPr>
            </w:pPr>
          </w:p>
        </w:tc>
      </w:tr>
    </w:tbl>
    <w:p>
      <w:pPr>
        <w:spacing w:after="0" w:line="240" w:lineRule="auto"/>
        <w:jc w:val="both"/>
        <w:rPr>
          <w:rFonts w:ascii="仿宋" w:hAnsi="仿宋" w:eastAsia="仿宋" w:cs="仿宋"/>
          <w:sz w:val="26"/>
          <w:szCs w:val="26"/>
        </w:rPr>
      </w:pPr>
    </w:p>
    <w:p>
      <w:pPr>
        <w:numPr>
          <w:ilvl w:val="0"/>
          <w:numId w:val="6"/>
        </w:numPr>
        <w:spacing w:after="0" w:line="240" w:lineRule="auto"/>
        <w:jc w:val="both"/>
        <w:rPr>
          <w:rFonts w:ascii="仿宋" w:hAnsi="仿宋" w:eastAsia="仿宋" w:cs="仿宋"/>
          <w:sz w:val="26"/>
          <w:szCs w:val="26"/>
        </w:rPr>
      </w:pPr>
      <w:r>
        <w:rPr>
          <w:rFonts w:hint="eastAsia" w:ascii="仿宋" w:hAnsi="仿宋" w:eastAsia="仿宋" w:cs="仿宋"/>
          <w:sz w:val="26"/>
          <w:szCs w:val="26"/>
        </w:rPr>
        <w:t>专业主干课程</w:t>
      </w:r>
    </w:p>
    <w:tbl>
      <w:tblPr>
        <w:tblStyle w:val="7"/>
        <w:tblW w:w="9894" w:type="dxa"/>
        <w:jc w:val="center"/>
        <w:tblInd w:w="-7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52"/>
        <w:gridCol w:w="1966"/>
        <w:gridCol w:w="2667"/>
        <w:gridCol w:w="783"/>
        <w:gridCol w:w="830"/>
        <w:gridCol w:w="700"/>
        <w:gridCol w:w="717"/>
        <w:gridCol w:w="950"/>
        <w:gridCol w:w="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1" w:hRule="exact"/>
          <w:jc w:val="center"/>
        </w:trPr>
        <w:tc>
          <w:tcPr>
            <w:tcW w:w="752" w:type="dxa"/>
            <w:vMerge w:val="restart"/>
            <w:vAlign w:val="center"/>
          </w:tcPr>
          <w:p>
            <w:pPr>
              <w:jc w:val="center"/>
              <w:textAlignment w:val="center"/>
              <w:rPr>
                <w:b/>
                <w:bCs/>
                <w:szCs w:val="21"/>
              </w:rPr>
            </w:pPr>
            <w:r>
              <w:rPr>
                <w:rFonts w:hint="eastAsia" w:ascii="宋体" w:hAnsi="宋体" w:cs="宋体"/>
                <w:b/>
                <w:szCs w:val="21"/>
              </w:rPr>
              <w:t>序号</w:t>
            </w:r>
          </w:p>
        </w:tc>
        <w:tc>
          <w:tcPr>
            <w:tcW w:w="1966" w:type="dxa"/>
            <w:vMerge w:val="restart"/>
            <w:vAlign w:val="center"/>
          </w:tcPr>
          <w:p>
            <w:pPr>
              <w:jc w:val="center"/>
              <w:textAlignment w:val="center"/>
              <w:rPr>
                <w:b/>
                <w:bCs/>
                <w:szCs w:val="21"/>
              </w:rPr>
            </w:pPr>
            <w:r>
              <w:rPr>
                <w:rFonts w:hint="eastAsia" w:ascii="宋体" w:hAnsi="宋体" w:cs="宋体"/>
                <w:b/>
                <w:szCs w:val="21"/>
              </w:rPr>
              <w:t>课程名称</w:t>
            </w:r>
          </w:p>
        </w:tc>
        <w:tc>
          <w:tcPr>
            <w:tcW w:w="2667" w:type="dxa"/>
            <w:vMerge w:val="restart"/>
            <w:vAlign w:val="center"/>
          </w:tcPr>
          <w:p>
            <w:pPr>
              <w:jc w:val="center"/>
              <w:textAlignment w:val="center"/>
              <w:rPr>
                <w:b/>
                <w:bCs/>
                <w:szCs w:val="21"/>
              </w:rPr>
            </w:pPr>
            <w:r>
              <w:rPr>
                <w:rFonts w:hint="eastAsia" w:ascii="宋体" w:hAnsi="宋体" w:cs="宋体"/>
                <w:b/>
                <w:szCs w:val="21"/>
              </w:rPr>
              <w:t>课程名称（英文）</w:t>
            </w:r>
          </w:p>
        </w:tc>
        <w:tc>
          <w:tcPr>
            <w:tcW w:w="783" w:type="dxa"/>
            <w:vMerge w:val="restart"/>
            <w:vAlign w:val="center"/>
          </w:tcPr>
          <w:p>
            <w:pPr>
              <w:jc w:val="center"/>
              <w:textAlignment w:val="center"/>
              <w:rPr>
                <w:rFonts w:ascii="宋体" w:hAnsi="宋体" w:cs="宋体"/>
                <w:bCs/>
                <w:sz w:val="18"/>
                <w:szCs w:val="18"/>
              </w:rPr>
            </w:pPr>
            <w:r>
              <w:rPr>
                <w:rFonts w:hint="eastAsia" w:ascii="宋体" w:hAnsi="宋体" w:cs="宋体"/>
                <w:b/>
                <w:szCs w:val="21"/>
              </w:rPr>
              <w:t>学分</w:t>
            </w:r>
          </w:p>
        </w:tc>
        <w:tc>
          <w:tcPr>
            <w:tcW w:w="3197" w:type="dxa"/>
            <w:gridSpan w:val="4"/>
            <w:vAlign w:val="center"/>
          </w:tcPr>
          <w:p>
            <w:pPr>
              <w:jc w:val="center"/>
              <w:textAlignment w:val="center"/>
              <w:rPr>
                <w:b/>
                <w:bCs/>
                <w:szCs w:val="21"/>
              </w:rPr>
            </w:pPr>
            <w:r>
              <w:rPr>
                <w:rFonts w:hint="eastAsia" w:ascii="宋体" w:hAnsi="宋体" w:cs="宋体"/>
                <w:b/>
                <w:szCs w:val="21"/>
              </w:rPr>
              <w:t>教学学时</w:t>
            </w:r>
          </w:p>
        </w:tc>
        <w:tc>
          <w:tcPr>
            <w:tcW w:w="529" w:type="dxa"/>
            <w:vMerge w:val="restart"/>
            <w:vAlign w:val="center"/>
          </w:tcPr>
          <w:p>
            <w:pPr>
              <w:jc w:val="center"/>
              <w:textAlignment w:val="center"/>
              <w:rPr>
                <w:b/>
                <w:bCs/>
                <w:szCs w:val="21"/>
              </w:rPr>
            </w:pPr>
            <w:r>
              <w:rPr>
                <w:rFonts w:hint="eastAsia" w:ascii="宋体" w:hAnsi="宋体" w:cs="宋体"/>
                <w:b/>
                <w:szCs w:val="21"/>
              </w:rPr>
              <w:t>建议学期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2" w:hRule="exact"/>
          <w:jc w:val="center"/>
        </w:trPr>
        <w:tc>
          <w:tcPr>
            <w:tcW w:w="752" w:type="dxa"/>
            <w:vMerge w:val="continue"/>
            <w:vAlign w:val="center"/>
          </w:tcPr>
          <w:p>
            <w:pPr>
              <w:jc w:val="center"/>
              <w:rPr>
                <w:b/>
                <w:bCs/>
                <w:szCs w:val="21"/>
              </w:rPr>
            </w:pPr>
          </w:p>
        </w:tc>
        <w:tc>
          <w:tcPr>
            <w:tcW w:w="1966" w:type="dxa"/>
            <w:vMerge w:val="continue"/>
            <w:vAlign w:val="center"/>
          </w:tcPr>
          <w:p>
            <w:pPr>
              <w:jc w:val="center"/>
              <w:rPr>
                <w:b/>
                <w:bCs/>
                <w:szCs w:val="21"/>
              </w:rPr>
            </w:pPr>
          </w:p>
        </w:tc>
        <w:tc>
          <w:tcPr>
            <w:tcW w:w="2667" w:type="dxa"/>
            <w:vMerge w:val="continue"/>
            <w:vAlign w:val="center"/>
          </w:tcPr>
          <w:p>
            <w:pPr>
              <w:jc w:val="center"/>
              <w:rPr>
                <w:b/>
                <w:bCs/>
                <w:szCs w:val="21"/>
              </w:rPr>
            </w:pPr>
          </w:p>
        </w:tc>
        <w:tc>
          <w:tcPr>
            <w:tcW w:w="783" w:type="dxa"/>
            <w:vMerge w:val="continue"/>
            <w:vAlign w:val="center"/>
          </w:tcPr>
          <w:p>
            <w:pPr>
              <w:jc w:val="center"/>
              <w:rPr>
                <w:rFonts w:ascii="宋体" w:hAnsi="宋体" w:cs="宋体"/>
                <w:bCs/>
                <w:sz w:val="18"/>
                <w:szCs w:val="18"/>
              </w:rPr>
            </w:pPr>
          </w:p>
        </w:tc>
        <w:tc>
          <w:tcPr>
            <w:tcW w:w="1530" w:type="dxa"/>
            <w:gridSpan w:val="2"/>
            <w:vAlign w:val="center"/>
          </w:tcPr>
          <w:p>
            <w:pPr>
              <w:jc w:val="center"/>
              <w:textAlignment w:val="center"/>
              <w:rPr>
                <w:b/>
                <w:bCs/>
                <w:szCs w:val="21"/>
              </w:rPr>
            </w:pPr>
            <w:r>
              <w:rPr>
                <w:rFonts w:hint="eastAsia" w:ascii="宋体" w:hAnsi="宋体" w:cs="宋体"/>
                <w:b/>
                <w:szCs w:val="21"/>
              </w:rPr>
              <w:t>理论</w:t>
            </w:r>
          </w:p>
        </w:tc>
        <w:tc>
          <w:tcPr>
            <w:tcW w:w="717" w:type="dxa"/>
            <w:vMerge w:val="restart"/>
            <w:vAlign w:val="center"/>
          </w:tcPr>
          <w:p>
            <w:pPr>
              <w:jc w:val="center"/>
              <w:textAlignment w:val="center"/>
              <w:rPr>
                <w:b/>
                <w:bCs/>
                <w:szCs w:val="21"/>
              </w:rPr>
            </w:pPr>
            <w:r>
              <w:rPr>
                <w:rFonts w:hint="eastAsia" w:ascii="宋体" w:hAnsi="宋体" w:cs="宋体"/>
                <w:b/>
                <w:szCs w:val="21"/>
              </w:rPr>
              <w:t>实验</w:t>
            </w:r>
          </w:p>
        </w:tc>
        <w:tc>
          <w:tcPr>
            <w:tcW w:w="950" w:type="dxa"/>
            <w:vMerge w:val="restart"/>
            <w:vAlign w:val="center"/>
          </w:tcPr>
          <w:p>
            <w:pPr>
              <w:jc w:val="center"/>
              <w:textAlignment w:val="center"/>
              <w:rPr>
                <w:b/>
                <w:bCs/>
                <w:szCs w:val="21"/>
              </w:rPr>
            </w:pPr>
            <w:r>
              <w:rPr>
                <w:rFonts w:hint="eastAsia" w:ascii="宋体" w:hAnsi="宋体" w:cs="宋体"/>
                <w:b/>
                <w:szCs w:val="21"/>
              </w:rPr>
              <w:t>实践（周）</w:t>
            </w:r>
          </w:p>
        </w:tc>
        <w:tc>
          <w:tcPr>
            <w:tcW w:w="529" w:type="dxa"/>
            <w:vMerge w:val="continue"/>
            <w:vAlign w:val="center"/>
          </w:tcPr>
          <w:p>
            <w:pPr>
              <w:jc w:val="cente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4" w:hRule="exact"/>
          <w:jc w:val="center"/>
        </w:trPr>
        <w:tc>
          <w:tcPr>
            <w:tcW w:w="752" w:type="dxa"/>
            <w:vMerge w:val="continue"/>
            <w:vAlign w:val="center"/>
          </w:tcPr>
          <w:p>
            <w:pPr>
              <w:jc w:val="center"/>
              <w:rPr>
                <w:b/>
                <w:bCs/>
                <w:szCs w:val="21"/>
              </w:rPr>
            </w:pPr>
          </w:p>
        </w:tc>
        <w:tc>
          <w:tcPr>
            <w:tcW w:w="1966" w:type="dxa"/>
            <w:vMerge w:val="continue"/>
            <w:vAlign w:val="center"/>
          </w:tcPr>
          <w:p>
            <w:pPr>
              <w:jc w:val="center"/>
              <w:rPr>
                <w:b/>
                <w:bCs/>
                <w:szCs w:val="21"/>
              </w:rPr>
            </w:pPr>
          </w:p>
        </w:tc>
        <w:tc>
          <w:tcPr>
            <w:tcW w:w="2667" w:type="dxa"/>
            <w:vMerge w:val="continue"/>
            <w:vAlign w:val="center"/>
          </w:tcPr>
          <w:p>
            <w:pPr>
              <w:jc w:val="center"/>
              <w:rPr>
                <w:b/>
                <w:bCs/>
                <w:szCs w:val="21"/>
              </w:rPr>
            </w:pPr>
          </w:p>
        </w:tc>
        <w:tc>
          <w:tcPr>
            <w:tcW w:w="783" w:type="dxa"/>
            <w:vMerge w:val="continue"/>
            <w:vAlign w:val="center"/>
          </w:tcPr>
          <w:p>
            <w:pPr>
              <w:jc w:val="center"/>
              <w:rPr>
                <w:rFonts w:ascii="宋体" w:hAnsi="宋体" w:cs="宋体"/>
                <w:bCs/>
                <w:sz w:val="18"/>
                <w:szCs w:val="18"/>
              </w:rPr>
            </w:pPr>
          </w:p>
        </w:tc>
        <w:tc>
          <w:tcPr>
            <w:tcW w:w="830" w:type="dxa"/>
            <w:vAlign w:val="center"/>
          </w:tcPr>
          <w:p>
            <w:pPr>
              <w:jc w:val="center"/>
              <w:textAlignment w:val="center"/>
              <w:rPr>
                <w:b/>
                <w:bCs/>
                <w:szCs w:val="21"/>
              </w:rPr>
            </w:pPr>
            <w:r>
              <w:rPr>
                <w:rFonts w:hint="eastAsia" w:ascii="宋体" w:hAnsi="宋体" w:cs="宋体"/>
                <w:b/>
                <w:szCs w:val="21"/>
              </w:rPr>
              <w:t>课内</w:t>
            </w:r>
          </w:p>
        </w:tc>
        <w:tc>
          <w:tcPr>
            <w:tcW w:w="700" w:type="dxa"/>
            <w:vAlign w:val="center"/>
          </w:tcPr>
          <w:p>
            <w:pPr>
              <w:jc w:val="center"/>
              <w:textAlignment w:val="center"/>
              <w:rPr>
                <w:b/>
                <w:bCs/>
                <w:szCs w:val="21"/>
              </w:rPr>
            </w:pPr>
            <w:r>
              <w:rPr>
                <w:rFonts w:hint="eastAsia" w:ascii="宋体" w:hAnsi="宋体" w:cs="宋体"/>
                <w:b/>
                <w:szCs w:val="21"/>
              </w:rPr>
              <w:t>课外</w:t>
            </w:r>
          </w:p>
        </w:tc>
        <w:tc>
          <w:tcPr>
            <w:tcW w:w="717" w:type="dxa"/>
            <w:vMerge w:val="continue"/>
            <w:vAlign w:val="center"/>
          </w:tcPr>
          <w:p>
            <w:pPr>
              <w:jc w:val="center"/>
              <w:rPr>
                <w:b/>
                <w:bCs/>
                <w:szCs w:val="21"/>
              </w:rPr>
            </w:pPr>
          </w:p>
        </w:tc>
        <w:tc>
          <w:tcPr>
            <w:tcW w:w="950" w:type="dxa"/>
            <w:vMerge w:val="continue"/>
            <w:vAlign w:val="center"/>
          </w:tcPr>
          <w:p>
            <w:pPr>
              <w:jc w:val="center"/>
              <w:rPr>
                <w:b/>
                <w:bCs/>
                <w:szCs w:val="21"/>
              </w:rPr>
            </w:pPr>
          </w:p>
        </w:tc>
        <w:tc>
          <w:tcPr>
            <w:tcW w:w="529" w:type="dxa"/>
            <w:vMerge w:val="continue"/>
            <w:vAlign w:val="center"/>
          </w:tcPr>
          <w:p>
            <w:pPr>
              <w:jc w:val="cente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循证医学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 xml:space="preserve">Evidence-based  Medicine  </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24</w:t>
            </w:r>
          </w:p>
        </w:tc>
        <w:tc>
          <w:tcPr>
            <w:tcW w:w="700"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717" w:type="dxa"/>
            <w:shd w:val="clear" w:color="auto" w:fill="FFFFFF"/>
            <w:vAlign w:val="center"/>
          </w:tcPr>
          <w:p>
            <w:pPr>
              <w:jc w:val="center"/>
              <w:rPr>
                <w:rFonts w:ascii="Times New Roman" w:hAnsi="Times New Roman" w:cs="Times New Roman"/>
                <w:sz w:val="18"/>
                <w:szCs w:val="18"/>
              </w:rPr>
            </w:pPr>
          </w:p>
        </w:tc>
        <w:tc>
          <w:tcPr>
            <w:tcW w:w="950"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29" w:type="dxa"/>
            <w:shd w:val="clear" w:color="auto" w:fill="FFFFFF"/>
            <w:vAlign w:val="center"/>
          </w:tcPr>
          <w:p>
            <w:pPr>
              <w:jc w:val="center"/>
              <w:textAlignment w:val="center"/>
              <w:rPr>
                <w:rFonts w:ascii="Times New Roman" w:hAnsi="Times New Roman" w:cs="Times New Roman"/>
                <w:sz w:val="18"/>
                <w:szCs w:val="18"/>
              </w:rPr>
            </w:pPr>
            <w:r>
              <w:rPr>
                <w:rFonts w:hint="eastAsia" w:ascii="宋体" w:hAnsi="宋体" w:eastAsia="宋体" w:cs="宋体"/>
                <w:sz w:val="18"/>
                <w:szCs w:val="18"/>
                <w:lang w:bidi="ar"/>
              </w:rPr>
              <w:t>夏</w:t>
            </w:r>
            <w:r>
              <w:rPr>
                <w:rFonts w:ascii="Times New Roman" w:hAnsi="Times New Roman" w:eastAsia="宋体" w:cs="Times New Roman"/>
                <w:sz w:val="18"/>
                <w:szCs w:val="18"/>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中医学（Ⅰ）</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Traditional Chinese Medicine</w:t>
            </w:r>
            <w:r>
              <w:rPr>
                <w:rFonts w:hint="eastAsia" w:ascii="宋体" w:hAnsi="宋体" w:eastAsia="宋体" w:cs="宋体"/>
                <w:sz w:val="18"/>
                <w:szCs w:val="18"/>
                <w:lang w:bidi="ar"/>
              </w:rPr>
              <w:t>（</w:t>
            </w:r>
            <w:r>
              <w:rPr>
                <w:rFonts w:ascii="Times New Roman" w:hAnsi="Times New Roman" w:eastAsia="宋体" w:cs="Times New Roman"/>
                <w:sz w:val="18"/>
                <w:szCs w:val="18"/>
                <w:lang w:bidi="ar"/>
              </w:rPr>
              <w:t>Ⅰ</w:t>
            </w:r>
            <w:r>
              <w:rPr>
                <w:rFonts w:hint="eastAsia" w:ascii="宋体" w:hAnsi="宋体" w:eastAsia="宋体" w:cs="宋体"/>
                <w:sz w:val="18"/>
                <w:szCs w:val="18"/>
                <w:lang w:bidi="ar"/>
              </w:rPr>
              <w:t>）</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30</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950"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　</w:t>
            </w:r>
          </w:p>
        </w:tc>
        <w:tc>
          <w:tcPr>
            <w:tcW w:w="529" w:type="dxa"/>
            <w:shd w:val="clear" w:color="auto" w:fill="FFFFFF"/>
            <w:vAlign w:val="center"/>
          </w:tcPr>
          <w:p>
            <w:pPr>
              <w:jc w:val="center"/>
              <w:textAlignment w:val="center"/>
              <w:rPr>
                <w:rFonts w:ascii="Times New Roman" w:hAnsi="Times New Roman" w:cs="Times New Roman"/>
                <w:sz w:val="18"/>
                <w:szCs w:val="18"/>
              </w:rPr>
            </w:pPr>
            <w:r>
              <w:rPr>
                <w:rFonts w:hint="eastAsia" w:ascii="宋体" w:hAnsi="宋体" w:eastAsia="宋体" w:cs="宋体"/>
                <w:sz w:val="18"/>
                <w:szCs w:val="18"/>
                <w:lang w:bidi="ar"/>
              </w:rPr>
              <w:t>夏</w:t>
            </w:r>
            <w:r>
              <w:rPr>
                <w:rFonts w:ascii="Times New Roman" w:hAnsi="Times New Roman" w:eastAsia="宋体" w:cs="Times New Roman"/>
                <w:sz w:val="18"/>
                <w:szCs w:val="18"/>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精准医学研究项目</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Precision medical science Research Project</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11</w:t>
            </w:r>
          </w:p>
        </w:tc>
        <w:tc>
          <w:tcPr>
            <w:tcW w:w="830" w:type="dxa"/>
            <w:shd w:val="clear" w:color="auto" w:fill="FFFFFF"/>
            <w:vAlign w:val="center"/>
          </w:tcPr>
          <w:p>
            <w:pPr>
              <w:jc w:val="center"/>
              <w:rPr>
                <w:rFonts w:ascii="Times New Roman" w:hAnsi="Times New Roman" w:cs="Times New Roman"/>
                <w:sz w:val="18"/>
                <w:szCs w:val="18"/>
              </w:rPr>
            </w:pP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rPr>
                <w:rFonts w:ascii="Times New Roman" w:hAnsi="Times New Roman" w:cs="Times New Roman"/>
                <w:sz w:val="18"/>
                <w:szCs w:val="18"/>
              </w:rPr>
            </w:pPr>
          </w:p>
        </w:tc>
        <w:tc>
          <w:tcPr>
            <w:tcW w:w="95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病理学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Pathology</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5.5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64</w:t>
            </w:r>
          </w:p>
        </w:tc>
        <w:tc>
          <w:tcPr>
            <w:tcW w:w="70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5</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基因组和大数据在诊断和疾病中的应用</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 xml:space="preserve">Genomics and big data in diagnostics and disease </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5.5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64</w:t>
            </w:r>
          </w:p>
        </w:tc>
        <w:tc>
          <w:tcPr>
            <w:tcW w:w="70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6</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癌症生物学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Cancer Biology</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5.5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64</w:t>
            </w:r>
          </w:p>
        </w:tc>
        <w:tc>
          <w:tcPr>
            <w:tcW w:w="70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7</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生物信息学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Bioinformatics</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2.75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32</w:t>
            </w:r>
          </w:p>
        </w:tc>
        <w:tc>
          <w:tcPr>
            <w:tcW w:w="70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个性化医疗中的结构生物学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 xml:space="preserve">Structural biology in personalised medicine </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2.75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32</w:t>
            </w:r>
          </w:p>
        </w:tc>
        <w:tc>
          <w:tcPr>
            <w:tcW w:w="70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9</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生物工程和纳米技术</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Nanomedicine and Bioengineering</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5.5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64</w:t>
            </w:r>
          </w:p>
        </w:tc>
        <w:tc>
          <w:tcPr>
            <w:tcW w:w="70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10</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精准医学研究技术</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 xml:space="preserve">Investigative skills research for precision medical sciences </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11</w:t>
            </w:r>
          </w:p>
        </w:tc>
        <w:tc>
          <w:tcPr>
            <w:tcW w:w="830" w:type="dxa"/>
            <w:shd w:val="clear" w:color="auto" w:fill="FFFFFF"/>
            <w:vAlign w:val="center"/>
          </w:tcPr>
          <w:p>
            <w:pPr>
              <w:jc w:val="center"/>
              <w:rPr>
                <w:rFonts w:ascii="Times New Roman" w:hAnsi="Times New Roman" w:cs="Times New Roman"/>
                <w:sz w:val="18"/>
                <w:szCs w:val="18"/>
              </w:rPr>
            </w:pP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rPr>
                <w:rFonts w:ascii="Times New Roman" w:hAnsi="Times New Roman" w:cs="Times New Roman"/>
                <w:sz w:val="18"/>
                <w:szCs w:val="18"/>
              </w:rPr>
            </w:pPr>
          </w:p>
        </w:tc>
        <w:tc>
          <w:tcPr>
            <w:tcW w:w="95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11</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模型、统计和临床试验</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Modelling, Statistics and clinical trials</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2.75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32</w:t>
            </w:r>
          </w:p>
        </w:tc>
        <w:tc>
          <w:tcPr>
            <w:tcW w:w="70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12</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 xml:space="preserve">医学影像 </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Medical imaging</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2.75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32</w:t>
            </w:r>
          </w:p>
        </w:tc>
        <w:tc>
          <w:tcPr>
            <w:tcW w:w="70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13</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麻醉学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Anesthesiology</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rPr>
                <w:rFonts w:ascii="Times New Roman" w:hAnsi="Times New Roman" w:cs="Times New Roman"/>
                <w:sz w:val="18"/>
                <w:szCs w:val="18"/>
              </w:rPr>
            </w:pP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14</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诊断影像学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Diagnostic Imaging</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26</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传染病学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Infectious Diseases</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32</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眼科学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Ophthalmology</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9</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17</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皮肤性病学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Dermatovenereology</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9</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18</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内科学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Internal Medicine</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7.5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92</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63</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19</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外科学各论</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Surgery ( Monograph )</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76</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48</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20</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精神病学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Psychiatry</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18</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9</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21</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神经病学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Neurology</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18</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9</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22</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儿科学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Pediatrics</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48</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12</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23</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妇产科学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Gynecology and Obstetrics</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46</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24</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急诊医学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Emergency Medicine</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26</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12</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25</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口腔科学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Stomatology</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9</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26</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临床基本技能训练</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Basic Clinical Skills Training</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4</w:t>
            </w:r>
          </w:p>
        </w:tc>
        <w:tc>
          <w:tcPr>
            <w:tcW w:w="830" w:type="dxa"/>
            <w:shd w:val="clear" w:color="auto" w:fill="FFFFFF"/>
            <w:vAlign w:val="center"/>
          </w:tcPr>
          <w:p>
            <w:pPr>
              <w:jc w:val="center"/>
              <w:rPr>
                <w:rFonts w:ascii="Times New Roman" w:hAnsi="Times New Roman" w:cs="Times New Roman"/>
                <w:sz w:val="18"/>
                <w:szCs w:val="18"/>
              </w:rPr>
            </w:pP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rPr>
                <w:rFonts w:ascii="Times New Roman" w:hAnsi="Times New Roman" w:cs="Times New Roman"/>
                <w:sz w:val="18"/>
                <w:szCs w:val="18"/>
              </w:rPr>
            </w:pPr>
          </w:p>
        </w:tc>
        <w:tc>
          <w:tcPr>
            <w:tcW w:w="95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4</w:t>
            </w: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27</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耳鼻咽喉科学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Otolaryngology</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9</w:t>
            </w: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hint="eastAsia" w:ascii="宋体" w:hAnsi="宋体" w:eastAsia="宋体" w:cs="宋体"/>
                <w:sz w:val="18"/>
                <w:szCs w:val="18"/>
                <w:lang w:bidi="ar"/>
              </w:rPr>
              <w:t>夏</w:t>
            </w:r>
            <w:r>
              <w:rPr>
                <w:rFonts w:ascii="Times New Roman" w:hAnsi="Times New Roman" w:eastAsia="宋体" w:cs="Times New Roman"/>
                <w:sz w:val="18"/>
                <w:szCs w:val="18"/>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28</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康复医学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Rehabilitation Medicine</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rPr>
                <w:rFonts w:ascii="Times New Roman" w:hAnsi="Times New Roman" w:cs="Times New Roman"/>
                <w:sz w:val="18"/>
                <w:szCs w:val="18"/>
              </w:rPr>
            </w:pP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hint="eastAsia" w:ascii="宋体" w:hAnsi="宋体" w:eastAsia="宋体" w:cs="宋体"/>
                <w:sz w:val="18"/>
                <w:szCs w:val="18"/>
                <w:lang w:bidi="ar"/>
              </w:rPr>
              <w:t>夏</w:t>
            </w:r>
            <w:r>
              <w:rPr>
                <w:rFonts w:ascii="Times New Roman" w:hAnsi="Times New Roman" w:eastAsia="宋体" w:cs="Times New Roman"/>
                <w:sz w:val="18"/>
                <w:szCs w:val="18"/>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cs="Times New Roman"/>
                <w:sz w:val="18"/>
                <w:szCs w:val="18"/>
              </w:rPr>
            </w:pPr>
            <w:r>
              <w:rPr>
                <w:rFonts w:ascii="Times New Roman" w:hAnsi="Times New Roman" w:cs="Times New Roman"/>
                <w:sz w:val="18"/>
                <w:szCs w:val="18"/>
              </w:rPr>
              <w:t>29</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老年医学</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Geriatrics</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rPr>
                <w:rFonts w:ascii="Times New Roman" w:hAnsi="Times New Roman" w:cs="Times New Roman"/>
                <w:sz w:val="18"/>
                <w:szCs w:val="18"/>
              </w:rPr>
            </w:pPr>
          </w:p>
        </w:tc>
        <w:tc>
          <w:tcPr>
            <w:tcW w:w="950" w:type="dxa"/>
            <w:shd w:val="clear" w:color="auto" w:fill="FFFFFF"/>
            <w:vAlign w:val="center"/>
          </w:tcPr>
          <w:p>
            <w:pPr>
              <w:jc w:val="center"/>
              <w:rPr>
                <w:rFonts w:ascii="Times New Roman" w:hAnsi="Times New Roman" w:cs="Times New Roman"/>
                <w:sz w:val="18"/>
                <w:szCs w:val="18"/>
              </w:rPr>
            </w:pPr>
          </w:p>
        </w:tc>
        <w:tc>
          <w:tcPr>
            <w:tcW w:w="529" w:type="dxa"/>
            <w:shd w:val="clear" w:color="auto" w:fill="FFFFFF"/>
            <w:vAlign w:val="center"/>
          </w:tcPr>
          <w:p>
            <w:pPr>
              <w:jc w:val="center"/>
              <w:textAlignment w:val="center"/>
              <w:rPr>
                <w:rFonts w:ascii="Times New Roman" w:hAnsi="Times New Roman" w:cs="Times New Roman"/>
                <w:sz w:val="18"/>
                <w:szCs w:val="18"/>
              </w:rPr>
            </w:pPr>
            <w:r>
              <w:rPr>
                <w:rFonts w:hint="eastAsia" w:ascii="宋体" w:hAnsi="宋体" w:eastAsia="宋体" w:cs="宋体"/>
                <w:sz w:val="18"/>
                <w:szCs w:val="18"/>
                <w:lang w:bidi="ar"/>
              </w:rPr>
              <w:t>夏</w:t>
            </w:r>
            <w:r>
              <w:rPr>
                <w:rFonts w:ascii="Times New Roman" w:hAnsi="Times New Roman" w:eastAsia="宋体" w:cs="Times New Roman"/>
                <w:sz w:val="18"/>
                <w:szCs w:val="18"/>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eastAsia="宋体" w:cs="Times New Roman"/>
                <w:sz w:val="18"/>
                <w:szCs w:val="18"/>
              </w:rPr>
            </w:pPr>
            <w:r>
              <w:rPr>
                <w:rFonts w:hint="eastAsia" w:ascii="Times New Roman" w:hAnsi="Times New Roman" w:cs="Times New Roman"/>
                <w:sz w:val="18"/>
                <w:szCs w:val="18"/>
              </w:rPr>
              <w:t>30</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毕业实习(1)</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Graduation Internship(1)</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830" w:type="dxa"/>
            <w:shd w:val="clear" w:color="auto" w:fill="FFFFFF"/>
            <w:vAlign w:val="center"/>
          </w:tcPr>
          <w:p>
            <w:pPr>
              <w:jc w:val="center"/>
              <w:rPr>
                <w:rFonts w:ascii="Times New Roman" w:hAnsi="Times New Roman" w:cs="Times New Roman"/>
                <w:sz w:val="18"/>
                <w:szCs w:val="18"/>
              </w:rPr>
            </w:pP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rPr>
                <w:rFonts w:ascii="Times New Roman" w:hAnsi="Times New Roman" w:cs="Times New Roman"/>
                <w:sz w:val="18"/>
                <w:szCs w:val="18"/>
              </w:rPr>
            </w:pPr>
          </w:p>
        </w:tc>
        <w:tc>
          <w:tcPr>
            <w:tcW w:w="95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24</w:t>
            </w: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752" w:type="dxa"/>
            <w:shd w:val="clear" w:color="auto" w:fill="FFFFFF"/>
            <w:vAlign w:val="center"/>
          </w:tcPr>
          <w:p>
            <w:pPr>
              <w:jc w:val="center"/>
              <w:rPr>
                <w:rFonts w:ascii="Times New Roman" w:hAnsi="Times New Roman" w:eastAsia="宋体" w:cs="Times New Roman"/>
                <w:sz w:val="18"/>
                <w:szCs w:val="18"/>
              </w:rPr>
            </w:pPr>
            <w:r>
              <w:rPr>
                <w:rFonts w:hint="eastAsia" w:ascii="Times New Roman" w:hAnsi="Times New Roman" w:cs="Times New Roman"/>
                <w:sz w:val="18"/>
                <w:szCs w:val="18"/>
              </w:rPr>
              <w:t>31</w:t>
            </w:r>
          </w:p>
        </w:tc>
        <w:tc>
          <w:tcPr>
            <w:tcW w:w="1966"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lang w:bidi="ar"/>
              </w:rPr>
              <w:t>毕业实习(2)</w:t>
            </w:r>
          </w:p>
        </w:tc>
        <w:tc>
          <w:tcPr>
            <w:tcW w:w="2667" w:type="dxa"/>
            <w:shd w:val="clear" w:color="auto" w:fill="FFFFFF"/>
            <w:vAlign w:val="center"/>
          </w:tcPr>
          <w:p>
            <w:pPr>
              <w:textAlignment w:val="center"/>
              <w:rPr>
                <w:rFonts w:ascii="Times New Roman" w:hAnsi="Times New Roman" w:cs="Times New Roman"/>
                <w:sz w:val="18"/>
                <w:szCs w:val="18"/>
              </w:rPr>
            </w:pPr>
            <w:r>
              <w:rPr>
                <w:rFonts w:ascii="Times New Roman" w:hAnsi="Times New Roman" w:eastAsia="宋体" w:cs="Times New Roman"/>
                <w:sz w:val="18"/>
                <w:szCs w:val="18"/>
                <w:lang w:bidi="ar"/>
              </w:rPr>
              <w:t>Graduation Internship(2)</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16</w:t>
            </w:r>
          </w:p>
        </w:tc>
        <w:tc>
          <w:tcPr>
            <w:tcW w:w="830" w:type="dxa"/>
            <w:shd w:val="clear" w:color="auto" w:fill="FFFFFF"/>
            <w:vAlign w:val="center"/>
          </w:tcPr>
          <w:p>
            <w:pPr>
              <w:jc w:val="center"/>
              <w:rPr>
                <w:rFonts w:ascii="Times New Roman" w:hAnsi="Times New Roman" w:cs="Times New Roman"/>
                <w:sz w:val="18"/>
                <w:szCs w:val="18"/>
              </w:rPr>
            </w:pPr>
          </w:p>
        </w:tc>
        <w:tc>
          <w:tcPr>
            <w:tcW w:w="700" w:type="dxa"/>
            <w:shd w:val="clear" w:color="auto" w:fill="FFFFFF"/>
            <w:vAlign w:val="center"/>
          </w:tcPr>
          <w:p>
            <w:pPr>
              <w:jc w:val="center"/>
              <w:rPr>
                <w:rFonts w:ascii="Times New Roman" w:hAnsi="Times New Roman" w:cs="Times New Roman"/>
                <w:sz w:val="18"/>
                <w:szCs w:val="18"/>
              </w:rPr>
            </w:pPr>
          </w:p>
        </w:tc>
        <w:tc>
          <w:tcPr>
            <w:tcW w:w="717" w:type="dxa"/>
            <w:shd w:val="clear" w:color="auto" w:fill="FFFFFF"/>
            <w:vAlign w:val="center"/>
          </w:tcPr>
          <w:p>
            <w:pPr>
              <w:jc w:val="center"/>
              <w:rPr>
                <w:rFonts w:ascii="Times New Roman" w:hAnsi="Times New Roman" w:cs="Times New Roman"/>
                <w:sz w:val="18"/>
                <w:szCs w:val="18"/>
              </w:rPr>
            </w:pPr>
          </w:p>
        </w:tc>
        <w:tc>
          <w:tcPr>
            <w:tcW w:w="95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24</w:t>
            </w:r>
          </w:p>
        </w:tc>
        <w:tc>
          <w:tcPr>
            <w:tcW w:w="529"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5385" w:type="dxa"/>
            <w:gridSpan w:val="3"/>
            <w:shd w:val="clear" w:color="auto" w:fill="FFFFFF"/>
            <w:vAlign w:val="center"/>
          </w:tcPr>
          <w:p>
            <w:pPr>
              <w:jc w:val="center"/>
              <w:textAlignment w:val="center"/>
              <w:rPr>
                <w:rFonts w:ascii="Times New Roman" w:hAnsi="Times New Roman" w:eastAsia="宋体" w:cs="Times New Roman"/>
                <w:sz w:val="18"/>
                <w:szCs w:val="18"/>
                <w:lang w:bidi="ar"/>
              </w:rPr>
            </w:pPr>
            <w:r>
              <w:rPr>
                <w:rFonts w:hint="eastAsia" w:ascii="仿宋" w:hAnsi="仿宋" w:eastAsia="仿宋" w:cs="仿宋"/>
                <w:b/>
                <w:bCs/>
                <w:sz w:val="20"/>
                <w:szCs w:val="20"/>
                <w:lang w:bidi="ar"/>
              </w:rPr>
              <w:t>学分学时小计：</w:t>
            </w:r>
          </w:p>
        </w:tc>
        <w:tc>
          <w:tcPr>
            <w:tcW w:w="783"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129.5</w:t>
            </w:r>
          </w:p>
        </w:tc>
        <w:tc>
          <w:tcPr>
            <w:tcW w:w="83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932</w:t>
            </w:r>
          </w:p>
        </w:tc>
        <w:tc>
          <w:tcPr>
            <w:tcW w:w="70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96</w:t>
            </w:r>
          </w:p>
        </w:tc>
        <w:tc>
          <w:tcPr>
            <w:tcW w:w="717"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349</w:t>
            </w:r>
          </w:p>
        </w:tc>
        <w:tc>
          <w:tcPr>
            <w:tcW w:w="950" w:type="dxa"/>
            <w:shd w:val="clear" w:color="auto" w:fill="FFFFFF"/>
            <w:vAlign w:val="center"/>
          </w:tcPr>
          <w:p>
            <w:pPr>
              <w:jc w:val="center"/>
              <w:textAlignment w:val="center"/>
              <w:rPr>
                <w:rFonts w:ascii="Times New Roman" w:hAnsi="Times New Roman" w:cs="Times New Roman"/>
                <w:sz w:val="18"/>
                <w:szCs w:val="18"/>
              </w:rPr>
            </w:pPr>
            <w:r>
              <w:rPr>
                <w:rFonts w:ascii="Times New Roman" w:hAnsi="Times New Roman" w:eastAsia="宋体" w:cs="Times New Roman"/>
                <w:sz w:val="18"/>
                <w:szCs w:val="18"/>
                <w:lang w:bidi="ar"/>
              </w:rPr>
              <w:t>68</w:t>
            </w:r>
          </w:p>
        </w:tc>
        <w:tc>
          <w:tcPr>
            <w:tcW w:w="529" w:type="dxa"/>
            <w:shd w:val="clear" w:color="auto" w:fill="FFFFFF"/>
            <w:vAlign w:val="center"/>
          </w:tcPr>
          <w:p>
            <w:pPr>
              <w:jc w:val="center"/>
              <w:rPr>
                <w:rFonts w:ascii="Times New Roman" w:hAnsi="Times New Roman" w:cs="Times New Roman"/>
                <w:sz w:val="18"/>
                <w:szCs w:val="18"/>
              </w:rPr>
            </w:pPr>
          </w:p>
        </w:tc>
      </w:tr>
    </w:tbl>
    <w:p>
      <w:pPr>
        <w:rPr>
          <w:rFonts w:ascii="黑体" w:eastAsia="黑体"/>
          <w:sz w:val="24"/>
        </w:rPr>
      </w:pPr>
    </w:p>
    <w:p>
      <w:pPr>
        <w:rPr>
          <w:rFonts w:ascii="仿宋" w:hAnsi="仿宋" w:eastAsia="仿宋" w:cs="仿宋"/>
          <w:sz w:val="26"/>
          <w:szCs w:val="26"/>
        </w:rPr>
      </w:pPr>
      <w:r>
        <w:rPr>
          <w:rFonts w:hint="eastAsia" w:ascii="仿宋" w:hAnsi="仿宋" w:eastAsia="仿宋" w:cs="仿宋"/>
          <w:sz w:val="26"/>
          <w:szCs w:val="26"/>
        </w:rPr>
        <w:t>（四）必修课程名称按建议学期排列</w:t>
      </w:r>
    </w:p>
    <w:tbl>
      <w:tblPr>
        <w:tblStyle w:val="7"/>
        <w:tblpPr w:leftFromText="180" w:rightFromText="180" w:vertAnchor="text" w:tblpXSpec="center" w:tblpY="1"/>
        <w:tblOverlap w:val="never"/>
        <w:tblW w:w="100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60"/>
        <w:gridCol w:w="984"/>
        <w:gridCol w:w="984"/>
        <w:gridCol w:w="1067"/>
        <w:gridCol w:w="1084"/>
        <w:gridCol w:w="1066"/>
        <w:gridCol w:w="967"/>
        <w:gridCol w:w="1033"/>
        <w:gridCol w:w="95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73" w:hRule="atLeast"/>
        </w:trPr>
        <w:tc>
          <w:tcPr>
            <w:tcW w:w="960" w:type="dxa"/>
            <w:vAlign w:val="center"/>
          </w:tcPr>
          <w:p>
            <w:pPr>
              <w:rPr>
                <w:rFonts w:ascii="仿宋" w:hAnsi="仿宋" w:eastAsia="仿宋" w:cs="仿宋"/>
                <w:b/>
                <w:bCs/>
              </w:rPr>
            </w:pPr>
            <w:r>
              <w:rPr>
                <w:rFonts w:hint="eastAsia" w:ascii="仿宋" w:hAnsi="仿宋" w:eastAsia="仿宋" w:cs="仿宋"/>
                <w:b/>
                <w:bCs/>
              </w:rPr>
              <w:t>第一学期</w:t>
            </w:r>
          </w:p>
        </w:tc>
        <w:tc>
          <w:tcPr>
            <w:tcW w:w="984" w:type="dxa"/>
            <w:vAlign w:val="center"/>
          </w:tcPr>
          <w:p>
            <w:pPr>
              <w:jc w:val="center"/>
              <w:rPr>
                <w:rFonts w:ascii="仿宋" w:hAnsi="仿宋" w:eastAsia="仿宋" w:cs="仿宋"/>
                <w:b/>
                <w:bCs/>
              </w:rPr>
            </w:pPr>
            <w:r>
              <w:rPr>
                <w:rFonts w:hint="eastAsia" w:ascii="仿宋" w:hAnsi="仿宋" w:eastAsia="仿宋" w:cs="仿宋"/>
                <w:b/>
                <w:bCs/>
              </w:rPr>
              <w:t>第二学期</w:t>
            </w:r>
          </w:p>
        </w:tc>
        <w:tc>
          <w:tcPr>
            <w:tcW w:w="984" w:type="dxa"/>
            <w:vAlign w:val="center"/>
          </w:tcPr>
          <w:p>
            <w:pPr>
              <w:jc w:val="center"/>
              <w:rPr>
                <w:rFonts w:ascii="仿宋" w:hAnsi="仿宋" w:eastAsia="仿宋" w:cs="仿宋"/>
                <w:b/>
                <w:bCs/>
              </w:rPr>
            </w:pPr>
            <w:r>
              <w:rPr>
                <w:rFonts w:hint="eastAsia" w:ascii="仿宋" w:hAnsi="仿宋" w:eastAsia="仿宋" w:cs="仿宋"/>
                <w:b/>
                <w:bCs/>
              </w:rPr>
              <w:t>第三学期</w:t>
            </w:r>
          </w:p>
        </w:tc>
        <w:tc>
          <w:tcPr>
            <w:tcW w:w="1067" w:type="dxa"/>
            <w:vAlign w:val="center"/>
          </w:tcPr>
          <w:p>
            <w:pPr>
              <w:jc w:val="center"/>
              <w:rPr>
                <w:rFonts w:ascii="仿宋" w:hAnsi="仿宋" w:eastAsia="仿宋" w:cs="仿宋"/>
                <w:b/>
                <w:bCs/>
              </w:rPr>
            </w:pPr>
            <w:r>
              <w:rPr>
                <w:rFonts w:hint="eastAsia" w:ascii="仿宋" w:hAnsi="仿宋" w:eastAsia="仿宋" w:cs="仿宋"/>
                <w:b/>
                <w:bCs/>
              </w:rPr>
              <w:t>第四学期</w:t>
            </w:r>
          </w:p>
        </w:tc>
        <w:tc>
          <w:tcPr>
            <w:tcW w:w="1084" w:type="dxa"/>
            <w:vAlign w:val="center"/>
          </w:tcPr>
          <w:p>
            <w:pPr>
              <w:jc w:val="center"/>
              <w:rPr>
                <w:rFonts w:ascii="仿宋" w:hAnsi="仿宋" w:eastAsia="仿宋" w:cs="仿宋"/>
                <w:b/>
                <w:bCs/>
              </w:rPr>
            </w:pPr>
            <w:r>
              <w:rPr>
                <w:rFonts w:hint="eastAsia" w:ascii="仿宋" w:hAnsi="仿宋" w:eastAsia="仿宋" w:cs="仿宋"/>
                <w:b/>
                <w:bCs/>
              </w:rPr>
              <w:t>第五学期</w:t>
            </w:r>
          </w:p>
        </w:tc>
        <w:tc>
          <w:tcPr>
            <w:tcW w:w="1066" w:type="dxa"/>
            <w:vAlign w:val="center"/>
          </w:tcPr>
          <w:p>
            <w:pPr>
              <w:jc w:val="center"/>
              <w:rPr>
                <w:rFonts w:ascii="仿宋" w:hAnsi="仿宋" w:eastAsia="仿宋" w:cs="仿宋"/>
                <w:b/>
                <w:bCs/>
              </w:rPr>
            </w:pPr>
            <w:r>
              <w:rPr>
                <w:rFonts w:hint="eastAsia" w:ascii="仿宋" w:hAnsi="仿宋" w:eastAsia="仿宋" w:cs="仿宋"/>
                <w:b/>
                <w:bCs/>
              </w:rPr>
              <w:t>第六学期</w:t>
            </w:r>
          </w:p>
        </w:tc>
        <w:tc>
          <w:tcPr>
            <w:tcW w:w="967" w:type="dxa"/>
            <w:vAlign w:val="center"/>
          </w:tcPr>
          <w:p>
            <w:pPr>
              <w:jc w:val="center"/>
              <w:rPr>
                <w:rFonts w:ascii="仿宋" w:hAnsi="仿宋" w:eastAsia="仿宋" w:cs="仿宋"/>
                <w:b/>
                <w:bCs/>
              </w:rPr>
            </w:pPr>
            <w:r>
              <w:rPr>
                <w:rFonts w:hint="eastAsia" w:ascii="仿宋" w:hAnsi="仿宋" w:eastAsia="仿宋" w:cs="仿宋"/>
                <w:b/>
                <w:bCs/>
              </w:rPr>
              <w:t>第七学期</w:t>
            </w:r>
          </w:p>
        </w:tc>
        <w:tc>
          <w:tcPr>
            <w:tcW w:w="1033" w:type="dxa"/>
            <w:vAlign w:val="center"/>
          </w:tcPr>
          <w:p>
            <w:pPr>
              <w:jc w:val="center"/>
              <w:rPr>
                <w:rFonts w:ascii="仿宋" w:hAnsi="仿宋" w:eastAsia="仿宋" w:cs="仿宋"/>
                <w:b/>
                <w:bCs/>
              </w:rPr>
            </w:pPr>
            <w:r>
              <w:rPr>
                <w:rFonts w:hint="eastAsia" w:ascii="仿宋" w:hAnsi="仿宋" w:eastAsia="仿宋" w:cs="仿宋"/>
                <w:b/>
                <w:bCs/>
              </w:rPr>
              <w:t>第八学期</w:t>
            </w:r>
          </w:p>
        </w:tc>
        <w:tc>
          <w:tcPr>
            <w:tcW w:w="950" w:type="dxa"/>
            <w:vAlign w:val="center"/>
          </w:tcPr>
          <w:p>
            <w:pPr>
              <w:jc w:val="center"/>
              <w:rPr>
                <w:rFonts w:ascii="仿宋" w:hAnsi="仿宋" w:eastAsia="仿宋" w:cs="仿宋"/>
                <w:b/>
                <w:bCs/>
              </w:rPr>
            </w:pPr>
            <w:r>
              <w:rPr>
                <w:rFonts w:hint="eastAsia" w:ascii="仿宋" w:hAnsi="仿宋" w:eastAsia="仿宋" w:cs="仿宋"/>
                <w:b/>
                <w:bCs/>
              </w:rPr>
              <w:t>第九学期</w:t>
            </w:r>
          </w:p>
        </w:tc>
        <w:tc>
          <w:tcPr>
            <w:tcW w:w="993" w:type="dxa"/>
            <w:vAlign w:val="center"/>
          </w:tcPr>
          <w:p>
            <w:pPr>
              <w:jc w:val="center"/>
              <w:rPr>
                <w:rFonts w:ascii="仿宋" w:hAnsi="仿宋" w:eastAsia="仿宋" w:cs="仿宋"/>
                <w:b/>
                <w:bCs/>
              </w:rPr>
            </w:pPr>
            <w:r>
              <w:rPr>
                <w:rFonts w:hint="eastAsia" w:ascii="仿宋" w:hAnsi="仿宋" w:eastAsia="仿宋" w:cs="仿宋"/>
                <w:b/>
                <w:bCs/>
              </w:rPr>
              <w:t>第十学期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99" w:hRule="atLeast"/>
        </w:trPr>
        <w:tc>
          <w:tcPr>
            <w:tcW w:w="96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大学英语(1)</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大学英语(2)</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体育(3)</w:t>
            </w: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体育(4)</w:t>
            </w:r>
          </w:p>
        </w:tc>
        <w:tc>
          <w:tcPr>
            <w:tcW w:w="10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马克思主义基本原理</w:t>
            </w: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癌症生物学</w:t>
            </w:r>
          </w:p>
        </w:tc>
        <w:tc>
          <w:tcPr>
            <w:tcW w:w="9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预防医学</w:t>
            </w: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内科学</w:t>
            </w:r>
          </w:p>
        </w:tc>
        <w:tc>
          <w:tcPr>
            <w:tcW w:w="950" w:type="dxa"/>
            <w:vAlign w:val="center"/>
          </w:tcPr>
          <w:p>
            <w:pPr>
              <w:jc w:val="center"/>
              <w:rPr>
                <w:rFonts w:ascii="仿宋" w:hAnsi="仿宋" w:eastAsia="仿宋" w:cs="仿宋"/>
                <w:sz w:val="20"/>
                <w:szCs w:val="20"/>
              </w:rPr>
            </w:pPr>
            <w:r>
              <w:rPr>
                <w:rFonts w:hint="eastAsia" w:ascii="仿宋" w:hAnsi="仿宋" w:eastAsia="仿宋" w:cs="仿宋"/>
                <w:sz w:val="20"/>
                <w:szCs w:val="20"/>
              </w:rPr>
              <w:t>毕业实习(1)</w:t>
            </w:r>
          </w:p>
        </w:tc>
        <w:tc>
          <w:tcPr>
            <w:tcW w:w="993" w:type="dxa"/>
            <w:vAlign w:val="center"/>
          </w:tcPr>
          <w:p>
            <w:pPr>
              <w:jc w:val="center"/>
              <w:rPr>
                <w:rFonts w:ascii="仿宋" w:hAnsi="仿宋" w:eastAsia="仿宋" w:cs="仿宋"/>
                <w:sz w:val="20"/>
                <w:szCs w:val="20"/>
              </w:rPr>
            </w:pPr>
            <w:r>
              <w:rPr>
                <w:rFonts w:hint="eastAsia" w:ascii="仿宋" w:hAnsi="仿宋" w:eastAsia="仿宋" w:cs="仿宋"/>
                <w:sz w:val="20"/>
                <w:szCs w:val="20"/>
              </w:rPr>
              <w:t>毕业实习(2)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73" w:hRule="atLeast"/>
        </w:trPr>
        <w:tc>
          <w:tcPr>
            <w:tcW w:w="96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体育(1)</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体育(2)</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形势与政策(3)</w:t>
            </w: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毛泽东思想和中国特色社会主义理论体系概论</w:t>
            </w:r>
          </w:p>
        </w:tc>
        <w:tc>
          <w:tcPr>
            <w:tcW w:w="10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精准医学研究项目</w:t>
            </w: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生物信息学</w:t>
            </w:r>
          </w:p>
        </w:tc>
        <w:tc>
          <w:tcPr>
            <w:tcW w:w="9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麻醉学</w:t>
            </w: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外科学各论</w:t>
            </w:r>
          </w:p>
        </w:tc>
        <w:tc>
          <w:tcPr>
            <w:tcW w:w="950"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c>
          <w:tcPr>
            <w:tcW w:w="993"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77" w:hRule="atLeast"/>
        </w:trPr>
        <w:tc>
          <w:tcPr>
            <w:tcW w:w="96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思想道德修养与法律基础</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军事理论</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生命生物分子</w:t>
            </w: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形势与政策(4)</w:t>
            </w:r>
          </w:p>
        </w:tc>
        <w:tc>
          <w:tcPr>
            <w:tcW w:w="10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病理学</w:t>
            </w: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个性化医疗中的结构生物学</w:t>
            </w:r>
          </w:p>
        </w:tc>
        <w:tc>
          <w:tcPr>
            <w:tcW w:w="9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诊断影像学</w:t>
            </w: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神经病学</w:t>
            </w:r>
          </w:p>
        </w:tc>
        <w:tc>
          <w:tcPr>
            <w:tcW w:w="950"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c>
          <w:tcPr>
            <w:tcW w:w="993"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73" w:hRule="atLeast"/>
        </w:trPr>
        <w:tc>
          <w:tcPr>
            <w:tcW w:w="96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形势与政策(1)</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中国近现代史纲要</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神经生物学基础</w:t>
            </w: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基础和应用药理学</w:t>
            </w:r>
          </w:p>
        </w:tc>
        <w:tc>
          <w:tcPr>
            <w:tcW w:w="10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基因组和大数据在诊断和疾病中的应用</w:t>
            </w: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生物工程和纳米技术</w:t>
            </w:r>
          </w:p>
        </w:tc>
        <w:tc>
          <w:tcPr>
            <w:tcW w:w="9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传染病学</w:t>
            </w: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精神病学</w:t>
            </w:r>
          </w:p>
        </w:tc>
        <w:tc>
          <w:tcPr>
            <w:tcW w:w="950"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c>
          <w:tcPr>
            <w:tcW w:w="993"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59" w:hRule="atLeast"/>
        </w:trPr>
        <w:tc>
          <w:tcPr>
            <w:tcW w:w="96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组织学与组织病理学</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形势与政策(2)</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诊断与个性化医学教学</w:t>
            </w: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分子临床微生物学</w:t>
            </w:r>
          </w:p>
        </w:tc>
        <w:tc>
          <w:tcPr>
            <w:tcW w:w="10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医学统计学</w:t>
            </w: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精准医学研究技术</w:t>
            </w:r>
          </w:p>
        </w:tc>
        <w:tc>
          <w:tcPr>
            <w:tcW w:w="9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眼科学</w:t>
            </w: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儿科学</w:t>
            </w:r>
          </w:p>
        </w:tc>
        <w:tc>
          <w:tcPr>
            <w:tcW w:w="950"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c>
          <w:tcPr>
            <w:tcW w:w="993"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068" w:hRule="atLeast"/>
        </w:trPr>
        <w:tc>
          <w:tcPr>
            <w:tcW w:w="96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人体细胞</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生理学</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病原微生物学I（医学微生物学）</w:t>
            </w: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基础免疫学</w:t>
            </w:r>
          </w:p>
        </w:tc>
        <w:tc>
          <w:tcPr>
            <w:tcW w:w="10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体育（5）</w:t>
            </w: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模型、统计和临床试验</w:t>
            </w:r>
          </w:p>
        </w:tc>
        <w:tc>
          <w:tcPr>
            <w:tcW w:w="9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 xml:space="preserve">皮肤性病学 </w:t>
            </w: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妇产科学</w:t>
            </w:r>
          </w:p>
        </w:tc>
        <w:tc>
          <w:tcPr>
            <w:tcW w:w="950"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c>
          <w:tcPr>
            <w:tcW w:w="993"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13" w:hRule="atLeast"/>
        </w:trPr>
        <w:tc>
          <w:tcPr>
            <w:tcW w:w="96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个人发展规划(1)</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基础医学遗传学</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个人发展规划(3)</w:t>
            </w: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临床化学</w:t>
            </w:r>
          </w:p>
        </w:tc>
        <w:tc>
          <w:tcPr>
            <w:tcW w:w="1084" w:type="dxa"/>
            <w:vAlign w:val="center"/>
          </w:tcPr>
          <w:p>
            <w:pPr>
              <w:jc w:val="center"/>
              <w:rPr>
                <w:rFonts w:ascii="仿宋" w:hAnsi="仿宋" w:eastAsia="仿宋" w:cs="仿宋"/>
                <w:sz w:val="20"/>
                <w:szCs w:val="20"/>
              </w:rPr>
            </w:pP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医学影像</w:t>
            </w:r>
          </w:p>
        </w:tc>
        <w:tc>
          <w:tcPr>
            <w:tcW w:w="967" w:type="dxa"/>
            <w:vAlign w:val="center"/>
          </w:tcPr>
          <w:p>
            <w:pPr>
              <w:jc w:val="center"/>
              <w:rPr>
                <w:rFonts w:ascii="仿宋" w:hAnsi="仿宋" w:eastAsia="仿宋" w:cs="仿宋"/>
                <w:sz w:val="20"/>
                <w:szCs w:val="20"/>
              </w:rPr>
            </w:pP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急诊医学</w:t>
            </w:r>
          </w:p>
        </w:tc>
        <w:tc>
          <w:tcPr>
            <w:tcW w:w="950"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c>
          <w:tcPr>
            <w:tcW w:w="993"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90" w:hRule="atLeast"/>
        </w:trPr>
        <w:tc>
          <w:tcPr>
            <w:tcW w:w="960" w:type="dxa"/>
            <w:vAlign w:val="center"/>
          </w:tcPr>
          <w:p>
            <w:pPr>
              <w:jc w:val="center"/>
              <w:rPr>
                <w:rFonts w:ascii="仿宋" w:hAnsi="仿宋" w:eastAsia="仿宋" w:cs="仿宋"/>
                <w:sz w:val="20"/>
                <w:szCs w:val="20"/>
              </w:rPr>
            </w:pP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人体解剖学</w:t>
            </w:r>
          </w:p>
        </w:tc>
        <w:tc>
          <w:tcPr>
            <w:tcW w:w="984" w:type="dxa"/>
            <w:vAlign w:val="center"/>
          </w:tcPr>
          <w:p>
            <w:pPr>
              <w:jc w:val="center"/>
              <w:rPr>
                <w:rFonts w:ascii="仿宋" w:hAnsi="仿宋" w:eastAsia="仿宋" w:cs="仿宋"/>
                <w:sz w:val="20"/>
                <w:szCs w:val="20"/>
              </w:rPr>
            </w:pP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细胞生物学和发育遗传学</w:t>
            </w:r>
          </w:p>
        </w:tc>
        <w:tc>
          <w:tcPr>
            <w:tcW w:w="1084" w:type="dxa"/>
            <w:vAlign w:val="center"/>
          </w:tcPr>
          <w:p>
            <w:pPr>
              <w:jc w:val="center"/>
              <w:rPr>
                <w:rFonts w:ascii="仿宋" w:hAnsi="仿宋" w:eastAsia="仿宋" w:cs="仿宋"/>
                <w:sz w:val="20"/>
                <w:szCs w:val="20"/>
              </w:rPr>
            </w:pP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诊断学（I）</w:t>
            </w:r>
          </w:p>
        </w:tc>
        <w:tc>
          <w:tcPr>
            <w:tcW w:w="967" w:type="dxa"/>
            <w:vAlign w:val="center"/>
          </w:tcPr>
          <w:p>
            <w:pPr>
              <w:jc w:val="center"/>
              <w:rPr>
                <w:rFonts w:ascii="仿宋" w:hAnsi="仿宋" w:eastAsia="仿宋" w:cs="仿宋"/>
                <w:sz w:val="20"/>
                <w:szCs w:val="20"/>
              </w:rPr>
            </w:pP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口腔科学</w:t>
            </w:r>
          </w:p>
        </w:tc>
        <w:tc>
          <w:tcPr>
            <w:tcW w:w="950"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c>
          <w:tcPr>
            <w:tcW w:w="993"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13" w:hRule="atLeast"/>
        </w:trPr>
        <w:tc>
          <w:tcPr>
            <w:tcW w:w="960" w:type="dxa"/>
            <w:vAlign w:val="center"/>
          </w:tcPr>
          <w:p>
            <w:pPr>
              <w:jc w:val="center"/>
              <w:rPr>
                <w:rFonts w:ascii="仿宋" w:hAnsi="仿宋" w:eastAsia="仿宋" w:cs="仿宋"/>
                <w:sz w:val="20"/>
                <w:szCs w:val="20"/>
              </w:rPr>
            </w:pP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个人发展规划(2)</w:t>
            </w:r>
          </w:p>
        </w:tc>
        <w:tc>
          <w:tcPr>
            <w:tcW w:w="984" w:type="dxa"/>
            <w:vAlign w:val="center"/>
          </w:tcPr>
          <w:p>
            <w:pPr>
              <w:jc w:val="center"/>
              <w:rPr>
                <w:rFonts w:ascii="仿宋" w:hAnsi="仿宋" w:eastAsia="仿宋" w:cs="仿宋"/>
                <w:sz w:val="20"/>
                <w:szCs w:val="20"/>
              </w:rPr>
            </w:pP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个人发展规划(4)</w:t>
            </w:r>
          </w:p>
        </w:tc>
        <w:tc>
          <w:tcPr>
            <w:tcW w:w="1084" w:type="dxa"/>
            <w:vAlign w:val="center"/>
          </w:tcPr>
          <w:p>
            <w:pPr>
              <w:jc w:val="center"/>
              <w:rPr>
                <w:rFonts w:ascii="仿宋" w:hAnsi="仿宋" w:eastAsia="仿宋" w:cs="仿宋"/>
                <w:sz w:val="20"/>
                <w:szCs w:val="20"/>
              </w:rPr>
            </w:pP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外科学总论（I）</w:t>
            </w:r>
          </w:p>
        </w:tc>
        <w:tc>
          <w:tcPr>
            <w:tcW w:w="967" w:type="dxa"/>
            <w:vAlign w:val="center"/>
          </w:tcPr>
          <w:p>
            <w:pPr>
              <w:jc w:val="center"/>
              <w:rPr>
                <w:rFonts w:ascii="仿宋" w:hAnsi="仿宋" w:eastAsia="仿宋" w:cs="仿宋"/>
                <w:sz w:val="20"/>
                <w:szCs w:val="20"/>
              </w:rPr>
            </w:pP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临床基本训练</w:t>
            </w:r>
          </w:p>
        </w:tc>
        <w:tc>
          <w:tcPr>
            <w:tcW w:w="950"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c>
          <w:tcPr>
            <w:tcW w:w="993" w:type="dxa"/>
            <w:vAlign w:val="center"/>
          </w:tcPr>
          <w:p>
            <w:pPr>
              <w:jc w:val="center"/>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9" w:hRule="atLeast"/>
        </w:trPr>
        <w:tc>
          <w:tcPr>
            <w:tcW w:w="96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本学期总学分</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本学期总学分</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本学期总学分</w:t>
            </w: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本学期总学分</w:t>
            </w:r>
          </w:p>
        </w:tc>
        <w:tc>
          <w:tcPr>
            <w:tcW w:w="10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本学期总学分</w:t>
            </w: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本学期总学分</w:t>
            </w:r>
          </w:p>
        </w:tc>
        <w:tc>
          <w:tcPr>
            <w:tcW w:w="9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本学期总学分</w:t>
            </w: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本学期总学分</w:t>
            </w:r>
          </w:p>
        </w:tc>
        <w:tc>
          <w:tcPr>
            <w:tcW w:w="95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本学期总学分</w:t>
            </w:r>
          </w:p>
        </w:tc>
        <w:tc>
          <w:tcPr>
            <w:tcW w:w="99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9" w:hRule="atLeast"/>
        </w:trPr>
        <w:tc>
          <w:tcPr>
            <w:tcW w:w="96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18.5</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27.5</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19.25</w:t>
            </w: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33.75</w:t>
            </w:r>
          </w:p>
        </w:tc>
        <w:tc>
          <w:tcPr>
            <w:tcW w:w="10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27.5</w:t>
            </w: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40.5</w:t>
            </w:r>
          </w:p>
        </w:tc>
        <w:tc>
          <w:tcPr>
            <w:tcW w:w="9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12</w:t>
            </w: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18.5</w:t>
            </w:r>
          </w:p>
        </w:tc>
        <w:tc>
          <w:tcPr>
            <w:tcW w:w="95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27.5</w:t>
            </w:r>
          </w:p>
        </w:tc>
        <w:tc>
          <w:tcPr>
            <w:tcW w:w="99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19.25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9" w:hRule="atLeast"/>
        </w:trPr>
        <w:tc>
          <w:tcPr>
            <w:tcW w:w="96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本学期总学时</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本学期总学时</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本学期总学时</w:t>
            </w: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本学期总学时</w:t>
            </w:r>
          </w:p>
        </w:tc>
        <w:tc>
          <w:tcPr>
            <w:tcW w:w="10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本学期总学时</w:t>
            </w: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本学期总学时</w:t>
            </w:r>
          </w:p>
        </w:tc>
        <w:tc>
          <w:tcPr>
            <w:tcW w:w="9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本学期总学时</w:t>
            </w: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本学期总学时</w:t>
            </w:r>
          </w:p>
        </w:tc>
        <w:tc>
          <w:tcPr>
            <w:tcW w:w="95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本学期总学时</w:t>
            </w:r>
          </w:p>
        </w:tc>
        <w:tc>
          <w:tcPr>
            <w:tcW w:w="99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本学期总学时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9" w:hRule="atLeast"/>
        </w:trPr>
        <w:tc>
          <w:tcPr>
            <w:tcW w:w="96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320</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508</w:t>
            </w:r>
          </w:p>
        </w:tc>
        <w:tc>
          <w:tcPr>
            <w:tcW w:w="9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340</w:t>
            </w:r>
          </w:p>
        </w:tc>
        <w:tc>
          <w:tcPr>
            <w:tcW w:w="10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584</w:t>
            </w:r>
          </w:p>
        </w:tc>
        <w:tc>
          <w:tcPr>
            <w:tcW w:w="1084"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304+8周</w:t>
            </w:r>
          </w:p>
        </w:tc>
        <w:tc>
          <w:tcPr>
            <w:tcW w:w="1066"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523+8周</w:t>
            </w:r>
          </w:p>
        </w:tc>
        <w:tc>
          <w:tcPr>
            <w:tcW w:w="967"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216</w:t>
            </w:r>
          </w:p>
        </w:tc>
        <w:tc>
          <w:tcPr>
            <w:tcW w:w="103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518+4周</w:t>
            </w:r>
          </w:p>
        </w:tc>
        <w:tc>
          <w:tcPr>
            <w:tcW w:w="950"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24周</w:t>
            </w:r>
          </w:p>
        </w:tc>
        <w:tc>
          <w:tcPr>
            <w:tcW w:w="993" w:type="dxa"/>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lang w:bidi="ar"/>
              </w:rPr>
              <w:t>24周</w:t>
            </w:r>
          </w:p>
        </w:tc>
      </w:tr>
    </w:tbl>
    <w:p>
      <w:pPr>
        <w:rPr>
          <w:rFonts w:ascii="仿宋" w:hAnsi="仿宋" w:eastAsia="仿宋" w:cs="仿宋"/>
          <w:bCs/>
          <w:sz w:val="24"/>
        </w:rPr>
      </w:pPr>
    </w:p>
    <w:p>
      <w:pPr>
        <w:rPr>
          <w:rFonts w:ascii="仿宋" w:hAnsi="仿宋" w:eastAsia="仿宋" w:cs="仿宋"/>
          <w:b/>
          <w:sz w:val="26"/>
          <w:szCs w:val="26"/>
        </w:rPr>
      </w:pPr>
      <w:r>
        <w:rPr>
          <w:rFonts w:hint="eastAsia" w:ascii="仿宋" w:hAnsi="仿宋" w:eastAsia="仿宋" w:cs="仿宋"/>
          <w:bCs/>
          <w:sz w:val="26"/>
          <w:szCs w:val="26"/>
        </w:rPr>
        <w:t>（五）实践教学计划表</w:t>
      </w:r>
    </w:p>
    <w:tbl>
      <w:tblPr>
        <w:tblStyle w:val="7"/>
        <w:tblW w:w="9941" w:type="dxa"/>
        <w:jc w:val="center"/>
        <w:tblInd w:w="-9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
      <w:tblGrid>
        <w:gridCol w:w="1800"/>
        <w:gridCol w:w="1257"/>
        <w:gridCol w:w="5447"/>
        <w:gridCol w:w="1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Ex>
        <w:trPr>
          <w:trHeight w:val="312" w:hRule="atLeast"/>
          <w:jc w:val="center"/>
        </w:trPr>
        <w:tc>
          <w:tcPr>
            <w:tcW w:w="1800" w:type="dxa"/>
            <w:shd w:val="clear" w:color="auto" w:fill="FFFFFF"/>
            <w:vAlign w:val="center"/>
          </w:tcPr>
          <w:p>
            <w:pPr>
              <w:jc w:val="center"/>
              <w:textAlignment w:val="center"/>
              <w:rPr>
                <w:rFonts w:ascii="仿宋" w:hAnsi="仿宋" w:eastAsia="仿宋" w:cs="仿宋"/>
                <w:b/>
                <w:sz w:val="26"/>
                <w:szCs w:val="26"/>
              </w:rPr>
            </w:pPr>
            <w:r>
              <w:rPr>
                <w:rFonts w:hint="eastAsia" w:ascii="仿宋" w:hAnsi="仿宋" w:eastAsia="仿宋" w:cs="仿宋"/>
                <w:b/>
                <w:sz w:val="26"/>
                <w:szCs w:val="26"/>
              </w:rPr>
              <w:t>学年</w:t>
            </w:r>
          </w:p>
        </w:tc>
        <w:tc>
          <w:tcPr>
            <w:tcW w:w="1257" w:type="dxa"/>
            <w:shd w:val="clear" w:color="auto" w:fill="FFFFFF"/>
            <w:vAlign w:val="center"/>
          </w:tcPr>
          <w:p>
            <w:pPr>
              <w:jc w:val="center"/>
              <w:textAlignment w:val="center"/>
              <w:rPr>
                <w:rFonts w:ascii="仿宋" w:hAnsi="仿宋" w:eastAsia="仿宋" w:cs="仿宋"/>
                <w:b/>
                <w:sz w:val="26"/>
                <w:szCs w:val="26"/>
              </w:rPr>
            </w:pPr>
            <w:r>
              <w:rPr>
                <w:rFonts w:hint="eastAsia" w:ascii="仿宋" w:hAnsi="仿宋" w:eastAsia="仿宋" w:cs="仿宋"/>
                <w:b/>
                <w:sz w:val="26"/>
                <w:szCs w:val="26"/>
              </w:rPr>
              <w:t>学期</w:t>
            </w:r>
          </w:p>
        </w:tc>
        <w:tc>
          <w:tcPr>
            <w:tcW w:w="5447" w:type="dxa"/>
            <w:shd w:val="clear" w:color="auto" w:fill="FFFFFF"/>
            <w:vAlign w:val="center"/>
          </w:tcPr>
          <w:p>
            <w:pPr>
              <w:jc w:val="center"/>
              <w:textAlignment w:val="center"/>
              <w:rPr>
                <w:rFonts w:ascii="仿宋" w:hAnsi="仿宋" w:eastAsia="仿宋" w:cs="仿宋"/>
                <w:b/>
                <w:sz w:val="26"/>
                <w:szCs w:val="26"/>
              </w:rPr>
            </w:pPr>
            <w:r>
              <w:rPr>
                <w:rFonts w:hint="eastAsia" w:ascii="仿宋" w:hAnsi="仿宋" w:eastAsia="仿宋" w:cs="仿宋"/>
                <w:b/>
                <w:sz w:val="26"/>
                <w:szCs w:val="26"/>
              </w:rPr>
              <w:t>课程名称</w:t>
            </w:r>
          </w:p>
        </w:tc>
        <w:tc>
          <w:tcPr>
            <w:tcW w:w="1437" w:type="dxa"/>
            <w:shd w:val="clear" w:color="auto" w:fill="FFFFFF"/>
            <w:vAlign w:val="center"/>
          </w:tcPr>
          <w:p>
            <w:pPr>
              <w:jc w:val="center"/>
              <w:textAlignment w:val="center"/>
              <w:rPr>
                <w:rFonts w:ascii="仿宋" w:hAnsi="仿宋" w:eastAsia="仿宋" w:cs="仿宋"/>
                <w:b/>
                <w:sz w:val="26"/>
                <w:szCs w:val="26"/>
              </w:rPr>
            </w:pPr>
            <w:r>
              <w:rPr>
                <w:rFonts w:hint="eastAsia" w:ascii="仿宋" w:hAnsi="仿宋" w:eastAsia="仿宋" w:cs="仿宋"/>
                <w:b/>
                <w:sz w:val="26"/>
                <w:szCs w:val="26"/>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restart"/>
            <w:shd w:val="clear" w:color="auto" w:fill="FFFFFF"/>
            <w:vAlign w:val="center"/>
          </w:tcPr>
          <w:p>
            <w:pPr>
              <w:jc w:val="center"/>
              <w:rPr>
                <w:rFonts w:ascii="仿宋" w:hAnsi="仿宋" w:eastAsia="仿宋" w:cs="仿宋"/>
                <w:sz w:val="26"/>
                <w:szCs w:val="26"/>
              </w:rPr>
            </w:pPr>
            <w:r>
              <w:rPr>
                <w:rFonts w:hint="eastAsia" w:ascii="仿宋" w:hAnsi="仿宋" w:eastAsia="仿宋" w:cs="仿宋"/>
                <w:sz w:val="26"/>
                <w:szCs w:val="26"/>
              </w:rPr>
              <w:t>一</w:t>
            </w:r>
          </w:p>
        </w:tc>
        <w:tc>
          <w:tcPr>
            <w:tcW w:w="1257" w:type="dxa"/>
            <w:shd w:val="clear" w:color="auto" w:fill="FFFFFF"/>
            <w:vAlign w:val="center"/>
          </w:tcPr>
          <w:p>
            <w:pPr>
              <w:jc w:val="center"/>
              <w:rPr>
                <w:rFonts w:ascii="仿宋" w:hAnsi="仿宋" w:eastAsia="仿宋" w:cs="仿宋"/>
                <w:sz w:val="26"/>
                <w:szCs w:val="26"/>
              </w:rPr>
            </w:pPr>
            <w:r>
              <w:rPr>
                <w:rFonts w:hint="eastAsia" w:ascii="仿宋" w:hAnsi="仿宋" w:eastAsia="仿宋" w:cs="仿宋"/>
                <w:sz w:val="26"/>
                <w:szCs w:val="26"/>
              </w:rPr>
              <w:t>夏1</w:t>
            </w:r>
          </w:p>
        </w:tc>
        <w:tc>
          <w:tcPr>
            <w:tcW w:w="5447" w:type="dxa"/>
            <w:shd w:val="clear" w:color="auto" w:fill="FFFFFF"/>
            <w:vAlign w:val="center"/>
          </w:tcPr>
          <w:p>
            <w:pPr>
              <w:jc w:val="center"/>
              <w:rPr>
                <w:rFonts w:ascii="仿宋" w:hAnsi="仿宋" w:eastAsia="仿宋" w:cs="仿宋"/>
                <w:sz w:val="26"/>
                <w:szCs w:val="26"/>
              </w:rPr>
            </w:pPr>
            <w:r>
              <w:rPr>
                <w:rFonts w:hint="eastAsia" w:ascii="仿宋" w:hAnsi="仿宋" w:eastAsia="仿宋" w:cs="仿宋"/>
                <w:sz w:val="26"/>
                <w:szCs w:val="26"/>
              </w:rPr>
              <w:t>军事技能训练</w:t>
            </w:r>
          </w:p>
        </w:tc>
        <w:tc>
          <w:tcPr>
            <w:tcW w:w="1437" w:type="dxa"/>
            <w:shd w:val="clear" w:color="auto" w:fill="FFFFFF"/>
            <w:vAlign w:val="center"/>
          </w:tcPr>
          <w:p>
            <w:pPr>
              <w:jc w:val="center"/>
              <w:rPr>
                <w:rFonts w:ascii="Times New Roman" w:hAnsi="Times New Roman" w:cs="Times New Roman"/>
                <w:sz w:val="26"/>
                <w:szCs w:val="26"/>
              </w:rPr>
            </w:pPr>
            <w:r>
              <w:rPr>
                <w:rFonts w:ascii="Times New Roman" w:hAnsi="Times New Roman" w:cs="Times New Roman"/>
                <w:sz w:val="26"/>
                <w:szCs w:val="2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restart"/>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一</w:t>
            </w: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组织学与胚胎学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人体细胞</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restart"/>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二</w:t>
            </w: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生理学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基础医学遗传学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人体解剖学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restart"/>
            <w:shd w:val="clear" w:color="auto" w:fill="FFFFFF"/>
            <w:vAlign w:val="center"/>
          </w:tcPr>
          <w:p>
            <w:pPr>
              <w:jc w:val="center"/>
              <w:rPr>
                <w:rFonts w:ascii="仿宋" w:hAnsi="仿宋" w:eastAsia="仿宋" w:cs="仿宋"/>
                <w:sz w:val="26"/>
                <w:szCs w:val="26"/>
              </w:rPr>
            </w:pPr>
            <w:r>
              <w:rPr>
                <w:rFonts w:hint="eastAsia" w:ascii="仿宋" w:hAnsi="仿宋" w:eastAsia="仿宋" w:cs="仿宋"/>
                <w:sz w:val="26"/>
                <w:szCs w:val="26"/>
              </w:rPr>
              <w:t>二</w:t>
            </w:r>
          </w:p>
        </w:tc>
        <w:tc>
          <w:tcPr>
            <w:tcW w:w="1257" w:type="dxa"/>
            <w:vMerge w:val="restart"/>
            <w:shd w:val="clear" w:color="auto" w:fill="FFFFFF"/>
            <w:vAlign w:val="center"/>
          </w:tcPr>
          <w:p>
            <w:pPr>
              <w:jc w:val="center"/>
              <w:rPr>
                <w:rFonts w:ascii="仿宋" w:hAnsi="仿宋" w:eastAsia="仿宋" w:cs="仿宋"/>
                <w:sz w:val="26"/>
                <w:szCs w:val="26"/>
              </w:rPr>
            </w:pPr>
            <w:r>
              <w:rPr>
                <w:rFonts w:hint="eastAsia" w:ascii="仿宋" w:hAnsi="仿宋" w:eastAsia="仿宋" w:cs="仿宋"/>
                <w:sz w:val="26"/>
                <w:szCs w:val="26"/>
              </w:rPr>
              <w:t>夏2</w:t>
            </w:r>
          </w:p>
        </w:tc>
        <w:tc>
          <w:tcPr>
            <w:tcW w:w="5447" w:type="dxa"/>
            <w:shd w:val="clear" w:color="auto" w:fill="FFFFFF"/>
            <w:vAlign w:val="center"/>
          </w:tcPr>
          <w:p>
            <w:pPr>
              <w:jc w:val="center"/>
              <w:rPr>
                <w:rFonts w:ascii="仿宋" w:hAnsi="仿宋" w:eastAsia="仿宋" w:cs="仿宋"/>
                <w:sz w:val="26"/>
                <w:szCs w:val="26"/>
              </w:rPr>
            </w:pPr>
            <w:r>
              <w:rPr>
                <w:rFonts w:hint="eastAsia" w:ascii="仿宋" w:hAnsi="仿宋" w:eastAsia="仿宋" w:cs="仿宋"/>
                <w:sz w:val="26"/>
                <w:szCs w:val="26"/>
              </w:rPr>
              <w:t>人体解剖学Ⅰ</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病理生理学Ⅰ</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restart"/>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三</w:t>
            </w: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生命生物分子</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神经生物学基础</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诊断与个性化医学教学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病原微生物学I（医学微生物学）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restart"/>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四</w:t>
            </w: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基础免疫学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基础和应用药理学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细胞生物学和发育遗传学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临床化学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分子临床生物学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restart"/>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五</w:t>
            </w: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精准医学研究项目</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textAlignment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医学统计学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textAlignment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病理学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textAlignment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基因组和大数据在诊断和疾病中的应用</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restart"/>
            <w:shd w:val="clear" w:color="auto" w:fill="FFFFFF"/>
            <w:vAlign w:val="center"/>
          </w:tcPr>
          <w:p>
            <w:pPr>
              <w:jc w:val="center"/>
              <w:rPr>
                <w:rFonts w:ascii="仿宋" w:hAnsi="仿宋" w:eastAsia="仿宋" w:cs="仿宋"/>
                <w:sz w:val="26"/>
                <w:szCs w:val="26"/>
              </w:rPr>
            </w:pPr>
            <w:r>
              <w:rPr>
                <w:rFonts w:hint="eastAsia" w:ascii="仿宋" w:hAnsi="仿宋" w:eastAsia="仿宋" w:cs="仿宋"/>
                <w:sz w:val="26"/>
                <w:szCs w:val="26"/>
              </w:rPr>
              <w:t>六</w:t>
            </w:r>
          </w:p>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癌症生物学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生物信息学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个性化医疗中的结构生物学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生物工程和纳米技术</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精准医学研究技术</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模型、统计和临床试验</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医学影像</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诊断学（I）</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外科学总论（I）</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restart"/>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四</w:t>
            </w:r>
          </w:p>
        </w:tc>
        <w:tc>
          <w:tcPr>
            <w:tcW w:w="1257" w:type="dxa"/>
            <w:vMerge w:val="restart"/>
            <w:shd w:val="clear" w:color="auto" w:fill="FFFFFF"/>
            <w:vAlign w:val="center"/>
          </w:tcPr>
          <w:p>
            <w:pPr>
              <w:jc w:val="center"/>
              <w:rPr>
                <w:rFonts w:ascii="仿宋" w:hAnsi="仿宋" w:eastAsia="仿宋" w:cs="仿宋"/>
                <w:sz w:val="26"/>
                <w:szCs w:val="26"/>
              </w:rPr>
            </w:pPr>
            <w:r>
              <w:rPr>
                <w:rFonts w:hint="eastAsia" w:ascii="仿宋" w:hAnsi="仿宋" w:eastAsia="仿宋" w:cs="仿宋"/>
                <w:sz w:val="26"/>
                <w:szCs w:val="26"/>
              </w:rPr>
              <w:t>夏4</w:t>
            </w: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全科医学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textAlignment w:val="center"/>
              <w:rPr>
                <w:rFonts w:ascii="仿宋" w:hAnsi="仿宋" w:eastAsia="仿宋" w:cs="仿宋"/>
                <w:sz w:val="26"/>
                <w:szCs w:val="26"/>
              </w:rPr>
            </w:pPr>
          </w:p>
        </w:tc>
        <w:tc>
          <w:tcPr>
            <w:tcW w:w="1257" w:type="dxa"/>
            <w:vMerge w:val="continue"/>
            <w:shd w:val="clear" w:color="auto" w:fill="FFFFFF"/>
            <w:vAlign w:val="center"/>
          </w:tcPr>
          <w:p>
            <w:pPr>
              <w:jc w:val="center"/>
              <w:textAlignment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循证医学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textAlignment w:val="center"/>
              <w:rPr>
                <w:rFonts w:ascii="仿宋" w:hAnsi="仿宋" w:eastAsia="仿宋" w:cs="仿宋"/>
                <w:sz w:val="26"/>
                <w:szCs w:val="26"/>
              </w:rPr>
            </w:pPr>
          </w:p>
        </w:tc>
        <w:tc>
          <w:tcPr>
            <w:tcW w:w="1257" w:type="dxa"/>
            <w:vMerge w:val="continue"/>
            <w:shd w:val="clear" w:color="auto" w:fill="FFFFFF"/>
            <w:vAlign w:val="center"/>
          </w:tcPr>
          <w:p>
            <w:pPr>
              <w:jc w:val="center"/>
              <w:textAlignment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中医学（Ⅰ）</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restart"/>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七</w:t>
            </w: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预防医学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麻醉学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诊断影像学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传染病学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眼科学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皮肤性病学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restart"/>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八</w:t>
            </w: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内科学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vMerge w:val="continue"/>
            <w:shd w:val="clear" w:color="auto" w:fill="FFFFFF"/>
            <w:vAlign w:val="center"/>
          </w:tcPr>
          <w:p>
            <w:pPr>
              <w:jc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外科学各论</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Times New Roman" w:hAnsi="Times New Roman" w:cs="Times New Roman"/>
                <w:sz w:val="18"/>
                <w:szCs w:val="18"/>
              </w:rPr>
            </w:pPr>
          </w:p>
        </w:tc>
        <w:tc>
          <w:tcPr>
            <w:tcW w:w="1257" w:type="dxa"/>
            <w:vMerge w:val="continue"/>
            <w:shd w:val="clear" w:color="auto" w:fill="FFFFFF"/>
            <w:vAlign w:val="center"/>
          </w:tcPr>
          <w:p>
            <w:pPr>
              <w:jc w:val="center"/>
              <w:rPr>
                <w:rFonts w:ascii="Times New Roman" w:hAnsi="Times New Roman" w:cs="Times New Roman"/>
                <w:sz w:val="18"/>
                <w:szCs w:val="18"/>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精神病学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Times New Roman" w:hAnsi="Times New Roman" w:cs="Times New Roman"/>
                <w:sz w:val="18"/>
                <w:szCs w:val="18"/>
              </w:rPr>
            </w:pPr>
          </w:p>
        </w:tc>
        <w:tc>
          <w:tcPr>
            <w:tcW w:w="1257" w:type="dxa"/>
            <w:vMerge w:val="continue"/>
            <w:shd w:val="clear" w:color="auto" w:fill="FFFFFF"/>
            <w:vAlign w:val="center"/>
          </w:tcPr>
          <w:p>
            <w:pPr>
              <w:jc w:val="center"/>
              <w:rPr>
                <w:rFonts w:ascii="Times New Roman" w:hAnsi="Times New Roman" w:cs="Times New Roman"/>
                <w:sz w:val="18"/>
                <w:szCs w:val="18"/>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神经病学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Times New Roman" w:hAnsi="Times New Roman" w:cs="Times New Roman"/>
                <w:sz w:val="18"/>
                <w:szCs w:val="18"/>
              </w:rPr>
            </w:pPr>
          </w:p>
        </w:tc>
        <w:tc>
          <w:tcPr>
            <w:tcW w:w="1257" w:type="dxa"/>
            <w:vMerge w:val="continue"/>
            <w:shd w:val="clear" w:color="auto" w:fill="FFFFFF"/>
            <w:vAlign w:val="center"/>
          </w:tcPr>
          <w:p>
            <w:pPr>
              <w:jc w:val="center"/>
              <w:rPr>
                <w:rFonts w:ascii="Times New Roman" w:hAnsi="Times New Roman" w:cs="Times New Roman"/>
                <w:sz w:val="18"/>
                <w:szCs w:val="18"/>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儿科学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Times New Roman" w:hAnsi="Times New Roman" w:cs="Times New Roman"/>
                <w:sz w:val="18"/>
                <w:szCs w:val="18"/>
              </w:rPr>
            </w:pPr>
          </w:p>
        </w:tc>
        <w:tc>
          <w:tcPr>
            <w:tcW w:w="1257" w:type="dxa"/>
            <w:vMerge w:val="continue"/>
            <w:shd w:val="clear" w:color="auto" w:fill="FFFFFF"/>
            <w:vAlign w:val="center"/>
          </w:tcPr>
          <w:p>
            <w:pPr>
              <w:jc w:val="center"/>
              <w:rPr>
                <w:rFonts w:ascii="Times New Roman" w:hAnsi="Times New Roman" w:cs="Times New Roman"/>
                <w:sz w:val="18"/>
                <w:szCs w:val="18"/>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妇产科学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Times New Roman" w:hAnsi="Times New Roman" w:cs="Times New Roman"/>
                <w:sz w:val="18"/>
                <w:szCs w:val="18"/>
              </w:rPr>
            </w:pPr>
          </w:p>
        </w:tc>
        <w:tc>
          <w:tcPr>
            <w:tcW w:w="1257" w:type="dxa"/>
            <w:vMerge w:val="continue"/>
            <w:shd w:val="clear" w:color="auto" w:fill="FFFFFF"/>
            <w:vAlign w:val="center"/>
          </w:tcPr>
          <w:p>
            <w:pPr>
              <w:jc w:val="center"/>
              <w:rPr>
                <w:rFonts w:ascii="Times New Roman" w:hAnsi="Times New Roman" w:cs="Times New Roman"/>
                <w:sz w:val="18"/>
                <w:szCs w:val="18"/>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口腔科学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Times New Roman" w:hAnsi="Times New Roman" w:cs="Times New Roman"/>
                <w:sz w:val="18"/>
                <w:szCs w:val="18"/>
              </w:rPr>
            </w:pPr>
          </w:p>
        </w:tc>
        <w:tc>
          <w:tcPr>
            <w:tcW w:w="1257" w:type="dxa"/>
            <w:vMerge w:val="continue"/>
            <w:shd w:val="clear" w:color="auto" w:fill="FFFFFF"/>
            <w:vAlign w:val="center"/>
          </w:tcPr>
          <w:p>
            <w:pPr>
              <w:jc w:val="center"/>
              <w:rPr>
                <w:rFonts w:ascii="Times New Roman" w:hAnsi="Times New Roman" w:cs="Times New Roman"/>
                <w:sz w:val="18"/>
                <w:szCs w:val="18"/>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急诊医学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Times New Roman" w:hAnsi="Times New Roman" w:cs="Times New Roman"/>
                <w:sz w:val="18"/>
                <w:szCs w:val="18"/>
              </w:rPr>
            </w:pPr>
          </w:p>
        </w:tc>
        <w:tc>
          <w:tcPr>
            <w:tcW w:w="1257" w:type="dxa"/>
            <w:vMerge w:val="continue"/>
            <w:shd w:val="clear" w:color="auto" w:fill="FFFFFF"/>
            <w:vAlign w:val="center"/>
          </w:tcPr>
          <w:p>
            <w:pPr>
              <w:jc w:val="center"/>
              <w:rPr>
                <w:rFonts w:ascii="Times New Roman" w:hAnsi="Times New Roman" w:cs="Times New Roman"/>
                <w:sz w:val="18"/>
                <w:szCs w:val="18"/>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临床基本技能训练</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restart"/>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五</w:t>
            </w:r>
          </w:p>
        </w:tc>
        <w:tc>
          <w:tcPr>
            <w:tcW w:w="1257" w:type="dxa"/>
            <w:vMerge w:val="restart"/>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夏5</w:t>
            </w: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老年医学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textAlignment w:val="center"/>
              <w:rPr>
                <w:rFonts w:ascii="仿宋" w:hAnsi="仿宋" w:eastAsia="仿宋" w:cs="仿宋"/>
                <w:sz w:val="26"/>
                <w:szCs w:val="26"/>
              </w:rPr>
            </w:pPr>
          </w:p>
        </w:tc>
        <w:tc>
          <w:tcPr>
            <w:tcW w:w="1257" w:type="dxa"/>
            <w:vMerge w:val="continue"/>
            <w:shd w:val="clear" w:color="auto" w:fill="FFFFFF"/>
            <w:vAlign w:val="center"/>
          </w:tcPr>
          <w:p>
            <w:pPr>
              <w:jc w:val="center"/>
              <w:textAlignment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康复医学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textAlignment w:val="center"/>
              <w:rPr>
                <w:rFonts w:ascii="仿宋" w:hAnsi="仿宋" w:eastAsia="仿宋" w:cs="仿宋"/>
                <w:sz w:val="26"/>
                <w:szCs w:val="26"/>
              </w:rPr>
            </w:pPr>
          </w:p>
        </w:tc>
        <w:tc>
          <w:tcPr>
            <w:tcW w:w="1257" w:type="dxa"/>
            <w:vMerge w:val="continue"/>
            <w:shd w:val="clear" w:color="auto" w:fill="FFFFFF"/>
            <w:vAlign w:val="center"/>
          </w:tcPr>
          <w:p>
            <w:pPr>
              <w:jc w:val="center"/>
              <w:textAlignment w:val="center"/>
              <w:rPr>
                <w:rFonts w:ascii="仿宋" w:hAnsi="仿宋" w:eastAsia="仿宋" w:cs="仿宋"/>
                <w:sz w:val="26"/>
                <w:szCs w:val="26"/>
              </w:rPr>
            </w:pP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耳鼻咽喉科学</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九</w:t>
            </w: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毕业实习(1)</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Ex>
        <w:trPr>
          <w:trHeight w:val="312" w:hRule="atLeast"/>
          <w:jc w:val="center"/>
        </w:trPr>
        <w:tc>
          <w:tcPr>
            <w:tcW w:w="1800" w:type="dxa"/>
            <w:vMerge w:val="continue"/>
            <w:shd w:val="clear" w:color="auto" w:fill="FFFFFF"/>
            <w:vAlign w:val="center"/>
          </w:tcPr>
          <w:p>
            <w:pPr>
              <w:jc w:val="center"/>
              <w:rPr>
                <w:rFonts w:ascii="仿宋" w:hAnsi="仿宋" w:eastAsia="仿宋" w:cs="仿宋"/>
                <w:sz w:val="26"/>
                <w:szCs w:val="26"/>
              </w:rPr>
            </w:pPr>
          </w:p>
        </w:tc>
        <w:tc>
          <w:tcPr>
            <w:tcW w:w="125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rPr>
              <w:t>十</w:t>
            </w:r>
          </w:p>
        </w:tc>
        <w:tc>
          <w:tcPr>
            <w:tcW w:w="5447" w:type="dxa"/>
            <w:shd w:val="clear" w:color="auto" w:fill="FFFFFF"/>
            <w:vAlign w:val="center"/>
          </w:tcPr>
          <w:p>
            <w:pPr>
              <w:jc w:val="center"/>
              <w:textAlignment w:val="center"/>
              <w:rPr>
                <w:rFonts w:ascii="仿宋" w:hAnsi="仿宋" w:eastAsia="仿宋" w:cs="仿宋"/>
                <w:sz w:val="26"/>
                <w:szCs w:val="26"/>
              </w:rPr>
            </w:pPr>
            <w:r>
              <w:rPr>
                <w:rFonts w:hint="eastAsia" w:ascii="仿宋" w:hAnsi="仿宋" w:eastAsia="仿宋" w:cs="仿宋"/>
                <w:sz w:val="26"/>
                <w:szCs w:val="26"/>
                <w:lang w:bidi="ar"/>
              </w:rPr>
              <w:t>毕业实习(2)</w:t>
            </w:r>
          </w:p>
        </w:tc>
        <w:tc>
          <w:tcPr>
            <w:tcW w:w="1437" w:type="dxa"/>
            <w:shd w:val="clear" w:color="auto" w:fill="FFFFFF"/>
            <w:vAlign w:val="center"/>
          </w:tcPr>
          <w:p>
            <w:pPr>
              <w:jc w:val="center"/>
              <w:textAlignment w:val="center"/>
              <w:rPr>
                <w:rFonts w:ascii="Times New Roman" w:hAnsi="Times New Roman" w:cs="Times New Roman"/>
                <w:sz w:val="26"/>
                <w:szCs w:val="26"/>
              </w:rPr>
            </w:pPr>
            <w:r>
              <w:rPr>
                <w:rFonts w:ascii="Times New Roman" w:hAnsi="Times New Roman" w:eastAsia="宋体" w:cs="Times New Roman"/>
                <w:sz w:val="26"/>
                <w:szCs w:val="26"/>
                <w:lang w:bidi="ar"/>
              </w:rPr>
              <w:t>16</w:t>
            </w:r>
          </w:p>
        </w:tc>
      </w:tr>
    </w:tbl>
    <w:p>
      <w:pPr>
        <w:spacing w:after="0" w:line="240" w:lineRule="auto"/>
        <w:jc w:val="both"/>
        <w:rPr>
          <w:rFonts w:ascii="黑体" w:hAnsi="黑体" w:eastAsia="黑体"/>
          <w:sz w:val="36"/>
          <w:szCs w:val="36"/>
        </w:rPr>
        <w:sectPr>
          <w:pgSz w:w="11906" w:h="16838"/>
          <w:pgMar w:top="1440" w:right="1800" w:bottom="1440" w:left="1800" w:header="851" w:footer="567" w:gutter="0"/>
          <w:cols w:space="720" w:num="1"/>
          <w:titlePg/>
          <w:docGrid w:type="lines" w:linePitch="312" w:charSpace="0"/>
        </w:sectPr>
      </w:pPr>
    </w:p>
    <w:p>
      <w:pPr>
        <w:spacing w:after="0"/>
        <w:jc w:val="both"/>
        <w:rPr>
          <w:rFonts w:ascii="微软雅黑" w:hAnsi="微软雅黑" w:eastAsia="微软雅黑" w:cs="微软雅黑"/>
          <w:sz w:val="36"/>
        </w:rPr>
      </w:pPr>
    </w:p>
    <w:p>
      <w:pPr>
        <w:pStyle w:val="3"/>
        <w:ind w:left="0" w:right="-334" w:firstLine="0"/>
        <w:jc w:val="center"/>
      </w:pPr>
      <w:r>
        <w:t>9.校内专业设置评议专家组意见表</w:t>
      </w:r>
    </w:p>
    <w:p>
      <w:pPr>
        <w:spacing w:after="0"/>
        <w:ind w:left="77"/>
      </w:pPr>
      <w:r>
        <w:rPr>
          <w:rFonts w:ascii="Times New Roman" w:hAnsi="Times New Roman" w:eastAsia="Times New Roman" w:cs="Times New Roman"/>
          <w:sz w:val="24"/>
        </w:rPr>
        <w:t xml:space="preserve"> </w:t>
      </w:r>
    </w:p>
    <w:tbl>
      <w:tblPr>
        <w:tblStyle w:val="16"/>
        <w:tblW w:w="9573" w:type="dxa"/>
        <w:jc w:val="center"/>
        <w:tblInd w:w="0" w:type="dxa"/>
        <w:tblLayout w:type="fixed"/>
        <w:tblCellMar>
          <w:top w:w="33" w:type="dxa"/>
          <w:left w:w="106" w:type="dxa"/>
          <w:bottom w:w="0" w:type="dxa"/>
          <w:right w:w="115" w:type="dxa"/>
        </w:tblCellMar>
      </w:tblPr>
      <w:tblGrid>
        <w:gridCol w:w="3454"/>
        <w:gridCol w:w="3459"/>
        <w:gridCol w:w="2660"/>
      </w:tblGrid>
      <w:tr>
        <w:tblPrEx>
          <w:tblLayout w:type="fixed"/>
          <w:tblCellMar>
            <w:top w:w="33" w:type="dxa"/>
            <w:left w:w="106" w:type="dxa"/>
            <w:bottom w:w="0" w:type="dxa"/>
            <w:right w:w="115" w:type="dxa"/>
          </w:tblCellMar>
        </w:tblPrEx>
        <w:trPr>
          <w:trHeight w:val="1106" w:hRule="atLeast"/>
          <w:jc w:val="center"/>
        </w:trPr>
        <w:tc>
          <w:tcPr>
            <w:tcW w:w="691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9"/>
              <w:jc w:val="center"/>
            </w:pPr>
            <w:r>
              <w:rPr>
                <w:rFonts w:ascii="微软雅黑" w:hAnsi="微软雅黑" w:eastAsia="微软雅黑" w:cs="微软雅黑"/>
                <w:sz w:val="24"/>
              </w:rPr>
              <w:t>总体判断拟开设专业是否可行</w:t>
            </w:r>
            <w:r>
              <w:rPr>
                <w:rFonts w:ascii="Times New Roman" w:hAnsi="Times New Roman" w:eastAsia="Times New Roman" w:cs="Times New Roman"/>
                <w:sz w:val="24"/>
              </w:rPr>
              <w:t xml:space="preserve"> </w:t>
            </w:r>
          </w:p>
        </w:tc>
        <w:tc>
          <w:tcPr>
            <w:tcW w:w="2660" w:type="dxa"/>
            <w:tcBorders>
              <w:top w:val="single" w:color="000000" w:sz="4" w:space="0"/>
              <w:left w:val="single" w:color="000000" w:sz="4" w:space="0"/>
              <w:bottom w:val="single" w:color="000000" w:sz="4" w:space="0"/>
              <w:right w:val="single" w:color="000000" w:sz="4" w:space="0"/>
            </w:tcBorders>
          </w:tcPr>
          <w:p>
            <w:pPr>
              <w:spacing w:after="128" w:line="240" w:lineRule="auto"/>
            </w:pPr>
            <w:r>
              <w:rPr>
                <w:rFonts w:ascii="Times New Roman" w:hAnsi="Times New Roman" w:eastAsia="Times New Roman" w:cs="Times New Roman"/>
                <w:sz w:val="24"/>
              </w:rPr>
              <w:t xml:space="preserve"> </w:t>
            </w:r>
          </w:p>
          <w:p>
            <w:pPr>
              <w:spacing w:after="0" w:line="240" w:lineRule="auto"/>
              <w:ind w:left="5"/>
              <w:jc w:val="center"/>
            </w:pPr>
            <w:r>
              <w:rPr>
                <w:rFonts w:ascii="微软雅黑" w:hAnsi="微软雅黑" w:eastAsia="微软雅黑" w:cs="微软雅黑"/>
                <w:sz w:val="24"/>
              </w:rPr>
              <w:t>□是</w:t>
            </w:r>
            <w:r>
              <w:rPr>
                <w:rFonts w:ascii="Times New Roman" w:hAnsi="Times New Roman" w:eastAsia="Times New Roman" w:cs="Times New Roman"/>
                <w:sz w:val="24"/>
              </w:rPr>
              <w:t xml:space="preserve">   </w:t>
            </w:r>
            <w:r>
              <w:rPr>
                <w:rFonts w:ascii="微软雅黑" w:hAnsi="微软雅黑" w:eastAsia="微软雅黑" w:cs="微软雅黑"/>
                <w:sz w:val="24"/>
              </w:rPr>
              <w:t>□否</w:t>
            </w:r>
            <w:r>
              <w:rPr>
                <w:rFonts w:ascii="Times New Roman" w:hAnsi="Times New Roman" w:eastAsia="Times New Roman" w:cs="Times New Roman"/>
                <w:sz w:val="24"/>
              </w:rPr>
              <w:t xml:space="preserve"> </w:t>
            </w:r>
          </w:p>
        </w:tc>
      </w:tr>
      <w:tr>
        <w:tblPrEx>
          <w:tblLayout w:type="fixed"/>
          <w:tblCellMar>
            <w:top w:w="33" w:type="dxa"/>
            <w:left w:w="106" w:type="dxa"/>
            <w:bottom w:w="0" w:type="dxa"/>
            <w:right w:w="115" w:type="dxa"/>
          </w:tblCellMar>
        </w:tblPrEx>
        <w:trPr>
          <w:trHeight w:val="7059" w:hRule="atLeast"/>
          <w:jc w:val="center"/>
        </w:trPr>
        <w:tc>
          <w:tcPr>
            <w:tcW w:w="6913" w:type="dxa"/>
            <w:gridSpan w:val="2"/>
            <w:tcBorders>
              <w:top w:val="single" w:color="000000" w:sz="4" w:space="0"/>
              <w:left w:val="single" w:color="000000" w:sz="4" w:space="0"/>
              <w:bottom w:val="single" w:color="000000" w:sz="4" w:space="0"/>
              <w:right w:val="nil"/>
            </w:tcBorders>
          </w:tcPr>
          <w:p>
            <w:pPr>
              <w:spacing w:after="139" w:line="240" w:lineRule="auto"/>
              <w:ind w:left="2"/>
            </w:pPr>
            <w:r>
              <w:rPr>
                <w:rFonts w:ascii="微软雅黑" w:hAnsi="微软雅黑" w:eastAsia="微软雅黑" w:cs="微软雅黑"/>
                <w:sz w:val="24"/>
              </w:rPr>
              <w:t>理由：</w:t>
            </w:r>
            <w:r>
              <w:rPr>
                <w:rFonts w:ascii="Times New Roman" w:hAnsi="Times New Roman" w:eastAsia="Times New Roman" w:cs="Times New Roman"/>
                <w:sz w:val="24"/>
              </w:rPr>
              <w:t xml:space="preserve"> </w:t>
            </w:r>
          </w:p>
          <w:p>
            <w:pPr>
              <w:spacing w:after="141" w:line="240" w:lineRule="auto"/>
              <w:ind w:left="2"/>
            </w:pPr>
            <w:r>
              <w:rPr>
                <w:rFonts w:ascii="Times New Roman" w:hAnsi="Times New Roman" w:eastAsia="Times New Roman" w:cs="Times New Roman"/>
                <w:sz w:val="24"/>
              </w:rPr>
              <w:t xml:space="preserve"> </w:t>
            </w:r>
          </w:p>
          <w:p>
            <w:pPr>
              <w:spacing w:after="139" w:line="240" w:lineRule="auto"/>
              <w:ind w:left="2"/>
            </w:pPr>
            <w:r>
              <w:rPr>
                <w:rFonts w:ascii="Times New Roman" w:hAnsi="Times New Roman" w:eastAsia="Times New Roman" w:cs="Times New Roman"/>
                <w:sz w:val="24"/>
              </w:rPr>
              <w:t xml:space="preserve"> </w:t>
            </w:r>
          </w:p>
          <w:p>
            <w:pPr>
              <w:spacing w:after="139" w:line="240" w:lineRule="auto"/>
              <w:ind w:left="2"/>
            </w:pPr>
            <w:r>
              <w:rPr>
                <w:rFonts w:ascii="Times New Roman" w:hAnsi="Times New Roman" w:eastAsia="Times New Roman" w:cs="Times New Roman"/>
                <w:sz w:val="24"/>
              </w:rPr>
              <w:t xml:space="preserve"> </w:t>
            </w:r>
          </w:p>
          <w:p>
            <w:pPr>
              <w:spacing w:after="141" w:line="240" w:lineRule="auto"/>
              <w:ind w:left="2"/>
            </w:pPr>
            <w:r>
              <w:rPr>
                <w:rFonts w:ascii="Times New Roman" w:hAnsi="Times New Roman" w:eastAsia="Times New Roman" w:cs="Times New Roman"/>
                <w:sz w:val="24"/>
              </w:rPr>
              <w:t xml:space="preserve"> </w:t>
            </w:r>
          </w:p>
          <w:p>
            <w:pPr>
              <w:spacing w:after="139" w:line="240" w:lineRule="auto"/>
              <w:ind w:left="2"/>
            </w:pPr>
            <w:r>
              <w:rPr>
                <w:rFonts w:ascii="Times New Roman" w:hAnsi="Times New Roman" w:eastAsia="Times New Roman" w:cs="Times New Roman"/>
                <w:sz w:val="24"/>
              </w:rPr>
              <w:t xml:space="preserve"> </w:t>
            </w:r>
          </w:p>
          <w:p>
            <w:pPr>
              <w:spacing w:after="139" w:line="240" w:lineRule="auto"/>
              <w:ind w:left="2"/>
            </w:pPr>
            <w:r>
              <w:rPr>
                <w:rFonts w:ascii="Times New Roman" w:hAnsi="Times New Roman" w:eastAsia="Times New Roman" w:cs="Times New Roman"/>
                <w:sz w:val="24"/>
              </w:rPr>
              <w:t xml:space="preserve"> </w:t>
            </w:r>
          </w:p>
          <w:p>
            <w:pPr>
              <w:spacing w:after="141" w:line="240" w:lineRule="auto"/>
              <w:ind w:left="2"/>
            </w:pPr>
            <w:r>
              <w:rPr>
                <w:rFonts w:ascii="Times New Roman" w:hAnsi="Times New Roman" w:eastAsia="Times New Roman" w:cs="Times New Roman"/>
                <w:sz w:val="24"/>
              </w:rPr>
              <w:t xml:space="preserve"> </w:t>
            </w:r>
          </w:p>
          <w:p>
            <w:pPr>
              <w:spacing w:after="139" w:line="240" w:lineRule="auto"/>
              <w:ind w:left="2"/>
            </w:pPr>
            <w:r>
              <w:rPr>
                <w:rFonts w:ascii="Times New Roman" w:hAnsi="Times New Roman" w:eastAsia="Times New Roman" w:cs="Times New Roman"/>
                <w:sz w:val="24"/>
              </w:rPr>
              <w:t xml:space="preserve"> </w:t>
            </w:r>
          </w:p>
          <w:p>
            <w:pPr>
              <w:spacing w:after="139" w:line="240" w:lineRule="auto"/>
              <w:ind w:left="2"/>
            </w:pPr>
            <w:r>
              <w:rPr>
                <w:rFonts w:ascii="Times New Roman" w:hAnsi="Times New Roman" w:eastAsia="Times New Roman" w:cs="Times New Roman"/>
                <w:sz w:val="24"/>
              </w:rPr>
              <w:t xml:space="preserve"> </w:t>
            </w:r>
          </w:p>
          <w:p>
            <w:pPr>
              <w:spacing w:after="141" w:line="240" w:lineRule="auto"/>
              <w:ind w:left="2"/>
            </w:pPr>
            <w:r>
              <w:rPr>
                <w:rFonts w:ascii="Times New Roman" w:hAnsi="Times New Roman" w:eastAsia="Times New Roman" w:cs="Times New Roman"/>
                <w:sz w:val="24"/>
              </w:rPr>
              <w:t xml:space="preserve"> </w:t>
            </w:r>
          </w:p>
          <w:p>
            <w:pPr>
              <w:spacing w:after="139" w:line="240" w:lineRule="auto"/>
              <w:ind w:left="2"/>
            </w:pPr>
            <w:r>
              <w:rPr>
                <w:rFonts w:ascii="Times New Roman" w:hAnsi="Times New Roman" w:eastAsia="Times New Roman" w:cs="Times New Roman"/>
                <w:sz w:val="24"/>
              </w:rPr>
              <w:t xml:space="preserve"> </w:t>
            </w:r>
          </w:p>
          <w:p>
            <w:pPr>
              <w:spacing w:after="139" w:line="240" w:lineRule="auto"/>
              <w:ind w:left="2"/>
            </w:pPr>
            <w:r>
              <w:rPr>
                <w:rFonts w:ascii="Times New Roman" w:hAnsi="Times New Roman" w:eastAsia="Times New Roman" w:cs="Times New Roman"/>
                <w:sz w:val="24"/>
              </w:rPr>
              <w:t xml:space="preserve"> </w:t>
            </w:r>
          </w:p>
          <w:p>
            <w:pPr>
              <w:spacing w:after="141" w:line="240" w:lineRule="auto"/>
              <w:ind w:left="2"/>
            </w:pPr>
            <w:r>
              <w:rPr>
                <w:rFonts w:ascii="Times New Roman" w:hAnsi="Times New Roman" w:eastAsia="Times New Roman" w:cs="Times New Roman"/>
                <w:sz w:val="24"/>
              </w:rPr>
              <w:t xml:space="preserve"> </w:t>
            </w:r>
          </w:p>
          <w:p>
            <w:pPr>
              <w:spacing w:after="0" w:line="240" w:lineRule="auto"/>
              <w:ind w:left="2"/>
            </w:pPr>
            <w:r>
              <w:rPr>
                <w:rFonts w:ascii="Times New Roman" w:hAnsi="Times New Roman" w:eastAsia="Times New Roman" w:cs="Times New Roman"/>
                <w:sz w:val="24"/>
              </w:rPr>
              <w:t xml:space="preserve"> </w:t>
            </w:r>
          </w:p>
        </w:tc>
        <w:tc>
          <w:tcPr>
            <w:tcW w:w="2660" w:type="dxa"/>
            <w:tcBorders>
              <w:top w:val="single" w:color="000000" w:sz="4" w:space="0"/>
              <w:left w:val="nil"/>
              <w:bottom w:val="single" w:color="000000" w:sz="4" w:space="0"/>
              <w:right w:val="single" w:color="000000" w:sz="4" w:space="0"/>
            </w:tcBorders>
          </w:tcPr>
          <w:p>
            <w:pPr>
              <w:spacing w:after="0" w:line="240" w:lineRule="auto"/>
            </w:pPr>
          </w:p>
        </w:tc>
      </w:tr>
      <w:tr>
        <w:tblPrEx>
          <w:tblLayout w:type="fixed"/>
          <w:tblCellMar>
            <w:top w:w="33" w:type="dxa"/>
            <w:left w:w="106" w:type="dxa"/>
            <w:bottom w:w="0" w:type="dxa"/>
            <w:right w:w="115" w:type="dxa"/>
          </w:tblCellMar>
        </w:tblPrEx>
        <w:trPr>
          <w:trHeight w:val="710" w:hRule="atLeast"/>
          <w:jc w:val="center"/>
        </w:trPr>
        <w:tc>
          <w:tcPr>
            <w:tcW w:w="691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9"/>
              <w:jc w:val="center"/>
            </w:pPr>
            <w:r>
              <w:rPr>
                <w:rFonts w:ascii="微软雅黑" w:hAnsi="微软雅黑" w:eastAsia="微软雅黑" w:cs="微软雅黑"/>
                <w:sz w:val="24"/>
              </w:rPr>
              <w:t>拟招生人数与人才需求预测是否匹配</w:t>
            </w:r>
            <w:r>
              <w:rPr>
                <w:rFonts w:ascii="Times New Roman" w:hAnsi="Times New Roman" w:eastAsia="Times New Roman" w:cs="Times New Roman"/>
                <w:sz w:val="24"/>
              </w:rPr>
              <w:t xml:space="preserve"> </w:t>
            </w:r>
          </w:p>
        </w:tc>
        <w:tc>
          <w:tcPr>
            <w:tcW w:w="266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ind w:left="5"/>
              <w:jc w:val="center"/>
            </w:pPr>
            <w:r>
              <w:rPr>
                <w:rFonts w:ascii="微软雅黑" w:hAnsi="微软雅黑" w:eastAsia="微软雅黑" w:cs="微软雅黑"/>
                <w:sz w:val="24"/>
              </w:rPr>
              <w:sym w:font="Wingdings 2" w:char="00A3"/>
            </w:r>
            <w:r>
              <w:rPr>
                <w:rFonts w:ascii="微软雅黑" w:hAnsi="微软雅黑" w:eastAsia="微软雅黑" w:cs="微软雅黑"/>
                <w:sz w:val="24"/>
              </w:rPr>
              <w:t>是</w:t>
            </w:r>
            <w:r>
              <w:rPr>
                <w:rFonts w:ascii="Times New Roman" w:hAnsi="Times New Roman" w:eastAsia="Times New Roman" w:cs="Times New Roman"/>
                <w:sz w:val="24"/>
              </w:rPr>
              <w:t xml:space="preserve">   </w:t>
            </w:r>
            <w:r>
              <w:rPr>
                <w:rFonts w:ascii="微软雅黑" w:hAnsi="微软雅黑" w:eastAsia="微软雅黑" w:cs="微软雅黑"/>
                <w:sz w:val="24"/>
              </w:rPr>
              <w:t>□否</w:t>
            </w:r>
            <w:r>
              <w:rPr>
                <w:rFonts w:ascii="Times New Roman" w:hAnsi="Times New Roman" w:eastAsia="Times New Roman" w:cs="Times New Roman"/>
                <w:sz w:val="24"/>
              </w:rPr>
              <w:t xml:space="preserve"> </w:t>
            </w:r>
          </w:p>
        </w:tc>
      </w:tr>
      <w:tr>
        <w:tblPrEx>
          <w:tblLayout w:type="fixed"/>
          <w:tblCellMar>
            <w:top w:w="33" w:type="dxa"/>
            <w:left w:w="106" w:type="dxa"/>
            <w:bottom w:w="0" w:type="dxa"/>
            <w:right w:w="115" w:type="dxa"/>
          </w:tblCellMar>
        </w:tblPrEx>
        <w:trPr>
          <w:trHeight w:val="451" w:hRule="atLeast"/>
          <w:jc w:val="center"/>
        </w:trPr>
        <w:tc>
          <w:tcPr>
            <w:tcW w:w="3454"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pPr>
            <w:r>
              <w:rPr>
                <w:rFonts w:ascii="微软雅黑" w:hAnsi="微软雅黑" w:eastAsia="微软雅黑" w:cs="微软雅黑"/>
                <w:sz w:val="24"/>
              </w:rPr>
              <w:t>本专业开设的基本条件是否符合教学质量国家标准</w:t>
            </w:r>
            <w:r>
              <w:rPr>
                <w:rFonts w:ascii="Times New Roman" w:hAnsi="Times New Roman" w:eastAsia="Times New Roman" w:cs="Times New Roman"/>
                <w:sz w:val="24"/>
              </w:rPr>
              <w:t xml:space="preserve"> </w:t>
            </w:r>
          </w:p>
        </w:tc>
        <w:tc>
          <w:tcPr>
            <w:tcW w:w="3459" w:type="dxa"/>
            <w:tcBorders>
              <w:top w:val="single" w:color="000000" w:sz="4" w:space="0"/>
              <w:left w:val="single" w:color="000000" w:sz="4" w:space="0"/>
              <w:bottom w:val="single" w:color="000000" w:sz="4" w:space="0"/>
              <w:right w:val="single" w:color="000000" w:sz="4" w:space="0"/>
            </w:tcBorders>
          </w:tcPr>
          <w:p>
            <w:pPr>
              <w:spacing w:after="0" w:line="240" w:lineRule="auto"/>
              <w:ind w:left="7"/>
              <w:jc w:val="center"/>
            </w:pPr>
            <w:r>
              <w:rPr>
                <w:rFonts w:ascii="微软雅黑" w:hAnsi="微软雅黑" w:eastAsia="微软雅黑" w:cs="微软雅黑"/>
                <w:sz w:val="24"/>
              </w:rPr>
              <w:t>教师队伍</w:t>
            </w:r>
            <w:r>
              <w:rPr>
                <w:rFonts w:ascii="Times New Roman" w:hAnsi="Times New Roman" w:eastAsia="Times New Roman" w:cs="Times New Roman"/>
                <w:sz w:val="24"/>
              </w:rPr>
              <w:t xml:space="preserve"> </w:t>
            </w:r>
          </w:p>
        </w:tc>
        <w:tc>
          <w:tcPr>
            <w:tcW w:w="2660" w:type="dxa"/>
            <w:tcBorders>
              <w:top w:val="single" w:color="000000" w:sz="4" w:space="0"/>
              <w:left w:val="single" w:color="000000" w:sz="4" w:space="0"/>
              <w:bottom w:val="single" w:color="000000" w:sz="4" w:space="0"/>
              <w:right w:val="single" w:color="000000" w:sz="4" w:space="0"/>
            </w:tcBorders>
          </w:tcPr>
          <w:p>
            <w:pPr>
              <w:spacing w:after="0" w:line="240" w:lineRule="auto"/>
              <w:ind w:left="5"/>
              <w:jc w:val="center"/>
            </w:pPr>
            <w:r>
              <w:rPr>
                <w:rFonts w:ascii="微软雅黑" w:hAnsi="微软雅黑" w:eastAsia="微软雅黑" w:cs="微软雅黑"/>
                <w:sz w:val="24"/>
              </w:rPr>
              <w:sym w:font="Wingdings 2" w:char="00A3"/>
            </w:r>
            <w:r>
              <w:rPr>
                <w:rFonts w:ascii="微软雅黑" w:hAnsi="微软雅黑" w:eastAsia="微软雅黑" w:cs="微软雅黑"/>
                <w:sz w:val="24"/>
              </w:rPr>
              <w:t>是</w:t>
            </w:r>
            <w:r>
              <w:rPr>
                <w:rFonts w:ascii="Times New Roman" w:hAnsi="Times New Roman" w:eastAsia="Times New Roman" w:cs="Times New Roman"/>
                <w:sz w:val="24"/>
              </w:rPr>
              <w:t xml:space="preserve">   </w:t>
            </w:r>
            <w:r>
              <w:rPr>
                <w:rFonts w:ascii="微软雅黑" w:hAnsi="微软雅黑" w:eastAsia="微软雅黑" w:cs="微软雅黑"/>
                <w:sz w:val="24"/>
              </w:rPr>
              <w:t>□否</w:t>
            </w:r>
            <w:r>
              <w:rPr>
                <w:rFonts w:ascii="Times New Roman" w:hAnsi="Times New Roman" w:eastAsia="Times New Roman" w:cs="Times New Roman"/>
                <w:sz w:val="24"/>
              </w:rPr>
              <w:t xml:space="preserve"> </w:t>
            </w:r>
          </w:p>
        </w:tc>
      </w:tr>
      <w:tr>
        <w:tblPrEx>
          <w:tblLayout w:type="fixed"/>
          <w:tblCellMar>
            <w:top w:w="33" w:type="dxa"/>
            <w:left w:w="106" w:type="dxa"/>
            <w:bottom w:w="0" w:type="dxa"/>
            <w:right w:w="115" w:type="dxa"/>
          </w:tblCellMar>
        </w:tblPrEx>
        <w:trPr>
          <w:trHeight w:val="449" w:hRule="atLeast"/>
          <w:jc w:val="center"/>
        </w:trPr>
        <w:tc>
          <w:tcPr>
            <w:tcW w:w="3454" w:type="dxa"/>
            <w:vMerge w:val="continue"/>
            <w:tcBorders>
              <w:top w:val="nil"/>
              <w:left w:val="single" w:color="000000" w:sz="4" w:space="0"/>
              <w:bottom w:val="nil"/>
              <w:right w:val="single" w:color="000000" w:sz="4" w:space="0"/>
            </w:tcBorders>
          </w:tcPr>
          <w:p>
            <w:pPr>
              <w:spacing w:after="0" w:line="240" w:lineRule="auto"/>
            </w:pPr>
          </w:p>
        </w:tc>
        <w:tc>
          <w:tcPr>
            <w:tcW w:w="3459" w:type="dxa"/>
            <w:tcBorders>
              <w:top w:val="single" w:color="000000" w:sz="4" w:space="0"/>
              <w:left w:val="single" w:color="000000" w:sz="4" w:space="0"/>
              <w:bottom w:val="single" w:color="000000" w:sz="4" w:space="0"/>
              <w:right w:val="single" w:color="000000" w:sz="4" w:space="0"/>
            </w:tcBorders>
          </w:tcPr>
          <w:p>
            <w:pPr>
              <w:spacing w:after="0" w:line="240" w:lineRule="auto"/>
              <w:ind w:left="7"/>
              <w:jc w:val="center"/>
            </w:pPr>
            <w:r>
              <w:rPr>
                <w:rFonts w:ascii="微软雅黑" w:hAnsi="微软雅黑" w:eastAsia="微软雅黑" w:cs="微软雅黑"/>
                <w:sz w:val="24"/>
              </w:rPr>
              <w:t>实践条件</w:t>
            </w:r>
            <w:r>
              <w:rPr>
                <w:rFonts w:ascii="Times New Roman" w:hAnsi="Times New Roman" w:eastAsia="Times New Roman" w:cs="Times New Roman"/>
                <w:sz w:val="24"/>
              </w:rPr>
              <w:t xml:space="preserve"> </w:t>
            </w:r>
          </w:p>
        </w:tc>
        <w:tc>
          <w:tcPr>
            <w:tcW w:w="2660" w:type="dxa"/>
            <w:tcBorders>
              <w:top w:val="single" w:color="000000" w:sz="4" w:space="0"/>
              <w:left w:val="single" w:color="000000" w:sz="4" w:space="0"/>
              <w:bottom w:val="single" w:color="000000" w:sz="4" w:space="0"/>
              <w:right w:val="single" w:color="000000" w:sz="4" w:space="0"/>
            </w:tcBorders>
          </w:tcPr>
          <w:p>
            <w:pPr>
              <w:spacing w:after="0" w:line="240" w:lineRule="auto"/>
              <w:ind w:left="5"/>
              <w:jc w:val="center"/>
            </w:pPr>
            <w:r>
              <w:rPr>
                <w:rFonts w:ascii="微软雅黑" w:hAnsi="微软雅黑" w:eastAsia="微软雅黑" w:cs="微软雅黑"/>
                <w:sz w:val="24"/>
              </w:rPr>
              <w:sym w:font="Wingdings 2" w:char="00A3"/>
            </w:r>
            <w:r>
              <w:rPr>
                <w:rFonts w:ascii="微软雅黑" w:hAnsi="微软雅黑" w:eastAsia="微软雅黑" w:cs="微软雅黑"/>
                <w:sz w:val="24"/>
              </w:rPr>
              <w:t>是</w:t>
            </w:r>
            <w:r>
              <w:rPr>
                <w:rFonts w:ascii="Times New Roman" w:hAnsi="Times New Roman" w:eastAsia="Times New Roman" w:cs="Times New Roman"/>
                <w:sz w:val="24"/>
              </w:rPr>
              <w:t xml:space="preserve">   </w:t>
            </w:r>
            <w:r>
              <w:rPr>
                <w:rFonts w:ascii="微软雅黑" w:hAnsi="微软雅黑" w:eastAsia="微软雅黑" w:cs="微软雅黑"/>
                <w:sz w:val="24"/>
              </w:rPr>
              <w:t>□否</w:t>
            </w:r>
            <w:r>
              <w:rPr>
                <w:rFonts w:ascii="Times New Roman" w:hAnsi="Times New Roman" w:eastAsia="Times New Roman" w:cs="Times New Roman"/>
                <w:sz w:val="24"/>
              </w:rPr>
              <w:t xml:space="preserve"> </w:t>
            </w:r>
          </w:p>
        </w:tc>
      </w:tr>
      <w:tr>
        <w:tblPrEx>
          <w:tblLayout w:type="fixed"/>
          <w:tblCellMar>
            <w:top w:w="33" w:type="dxa"/>
            <w:left w:w="106" w:type="dxa"/>
            <w:bottom w:w="0" w:type="dxa"/>
            <w:right w:w="115" w:type="dxa"/>
          </w:tblCellMar>
        </w:tblPrEx>
        <w:trPr>
          <w:trHeight w:val="452" w:hRule="atLeast"/>
          <w:jc w:val="center"/>
        </w:trPr>
        <w:tc>
          <w:tcPr>
            <w:tcW w:w="3454" w:type="dxa"/>
            <w:vMerge w:val="continue"/>
            <w:tcBorders>
              <w:top w:val="nil"/>
              <w:left w:val="single" w:color="000000" w:sz="4" w:space="0"/>
              <w:bottom w:val="single" w:color="000000" w:sz="4" w:space="0"/>
              <w:right w:val="single" w:color="000000" w:sz="4" w:space="0"/>
            </w:tcBorders>
          </w:tcPr>
          <w:p>
            <w:pPr>
              <w:spacing w:after="0" w:line="240" w:lineRule="auto"/>
            </w:pPr>
          </w:p>
        </w:tc>
        <w:tc>
          <w:tcPr>
            <w:tcW w:w="3459" w:type="dxa"/>
            <w:tcBorders>
              <w:top w:val="single" w:color="000000" w:sz="4" w:space="0"/>
              <w:left w:val="single" w:color="000000" w:sz="4" w:space="0"/>
              <w:bottom w:val="single" w:color="000000" w:sz="4" w:space="0"/>
              <w:right w:val="single" w:color="000000" w:sz="4" w:space="0"/>
            </w:tcBorders>
          </w:tcPr>
          <w:p>
            <w:pPr>
              <w:spacing w:after="0" w:line="240" w:lineRule="auto"/>
              <w:ind w:left="7"/>
              <w:jc w:val="center"/>
            </w:pPr>
            <w:r>
              <w:rPr>
                <w:rFonts w:ascii="微软雅黑" w:hAnsi="微软雅黑" w:eastAsia="微软雅黑" w:cs="微软雅黑"/>
                <w:sz w:val="24"/>
              </w:rPr>
              <w:t>经费保障</w:t>
            </w:r>
            <w:r>
              <w:rPr>
                <w:rFonts w:ascii="Times New Roman" w:hAnsi="Times New Roman" w:eastAsia="Times New Roman" w:cs="Times New Roman"/>
                <w:sz w:val="24"/>
              </w:rPr>
              <w:t xml:space="preserve"> </w:t>
            </w:r>
          </w:p>
        </w:tc>
        <w:tc>
          <w:tcPr>
            <w:tcW w:w="2660" w:type="dxa"/>
            <w:tcBorders>
              <w:top w:val="single" w:color="000000" w:sz="4" w:space="0"/>
              <w:left w:val="single" w:color="000000" w:sz="4" w:space="0"/>
              <w:bottom w:val="single" w:color="000000" w:sz="4" w:space="0"/>
              <w:right w:val="single" w:color="000000" w:sz="4" w:space="0"/>
            </w:tcBorders>
          </w:tcPr>
          <w:p>
            <w:pPr>
              <w:spacing w:after="0" w:line="240" w:lineRule="auto"/>
              <w:ind w:left="5"/>
              <w:jc w:val="center"/>
            </w:pPr>
            <w:r>
              <w:rPr>
                <w:rFonts w:ascii="微软雅黑" w:hAnsi="微软雅黑" w:eastAsia="微软雅黑" w:cs="微软雅黑"/>
                <w:sz w:val="24"/>
              </w:rPr>
              <w:sym w:font="Wingdings 2" w:char="00A3"/>
            </w:r>
            <w:r>
              <w:rPr>
                <w:rFonts w:ascii="微软雅黑" w:hAnsi="微软雅黑" w:eastAsia="微软雅黑" w:cs="微软雅黑"/>
                <w:sz w:val="24"/>
              </w:rPr>
              <w:t>是</w:t>
            </w:r>
            <w:r>
              <w:rPr>
                <w:rFonts w:ascii="Times New Roman" w:hAnsi="Times New Roman" w:eastAsia="Times New Roman" w:cs="Times New Roman"/>
                <w:sz w:val="24"/>
              </w:rPr>
              <w:t xml:space="preserve">   </w:t>
            </w:r>
            <w:r>
              <w:rPr>
                <w:rFonts w:ascii="微软雅黑" w:hAnsi="微软雅黑" w:eastAsia="微软雅黑" w:cs="微软雅黑"/>
                <w:sz w:val="24"/>
              </w:rPr>
              <w:t>□否</w:t>
            </w:r>
            <w:r>
              <w:rPr>
                <w:rFonts w:ascii="Times New Roman" w:hAnsi="Times New Roman" w:eastAsia="Times New Roman" w:cs="Times New Roman"/>
                <w:sz w:val="24"/>
              </w:rPr>
              <w:t xml:space="preserve"> </w:t>
            </w:r>
          </w:p>
        </w:tc>
      </w:tr>
      <w:tr>
        <w:tblPrEx>
          <w:tblLayout w:type="fixed"/>
          <w:tblCellMar>
            <w:top w:w="33" w:type="dxa"/>
            <w:left w:w="106" w:type="dxa"/>
            <w:bottom w:w="0" w:type="dxa"/>
            <w:right w:w="115" w:type="dxa"/>
          </w:tblCellMar>
        </w:tblPrEx>
        <w:trPr>
          <w:trHeight w:val="1882" w:hRule="atLeast"/>
          <w:jc w:val="center"/>
        </w:trPr>
        <w:tc>
          <w:tcPr>
            <w:tcW w:w="6913" w:type="dxa"/>
            <w:gridSpan w:val="2"/>
            <w:tcBorders>
              <w:top w:val="single" w:color="000000" w:sz="4" w:space="0"/>
              <w:left w:val="single" w:color="000000" w:sz="4" w:space="0"/>
              <w:bottom w:val="single" w:color="000000" w:sz="4" w:space="0"/>
              <w:right w:val="nil"/>
            </w:tcBorders>
          </w:tcPr>
          <w:p>
            <w:pPr>
              <w:spacing w:after="13" w:line="240" w:lineRule="auto"/>
              <w:ind w:left="2"/>
            </w:pPr>
            <w:r>
              <w:rPr>
                <w:rFonts w:ascii="微软雅黑" w:hAnsi="微软雅黑" w:eastAsia="微软雅黑" w:cs="微软雅黑"/>
                <w:sz w:val="24"/>
              </w:rPr>
              <w:t>专家签字：</w:t>
            </w:r>
            <w:r>
              <w:rPr>
                <w:rFonts w:ascii="Times New Roman" w:hAnsi="Times New Roman" w:eastAsia="Times New Roman" w:cs="Times New Roman"/>
                <w:sz w:val="24"/>
              </w:rPr>
              <w:t xml:space="preserve"> </w:t>
            </w:r>
          </w:p>
          <w:p>
            <w:pPr>
              <w:spacing w:after="12" w:line="240" w:lineRule="auto"/>
              <w:ind w:left="2"/>
            </w:pPr>
            <w:r>
              <w:rPr>
                <w:rFonts w:ascii="Times New Roman" w:hAnsi="Times New Roman" w:eastAsia="Times New Roman" w:cs="Times New Roman"/>
                <w:sz w:val="24"/>
              </w:rPr>
              <w:t xml:space="preserve"> </w:t>
            </w:r>
          </w:p>
          <w:p>
            <w:pPr>
              <w:spacing w:after="12" w:line="240" w:lineRule="auto"/>
              <w:ind w:left="2"/>
            </w:pPr>
            <w:r>
              <w:rPr>
                <w:rFonts w:ascii="Times New Roman" w:hAnsi="Times New Roman" w:eastAsia="Times New Roman" w:cs="Times New Roman"/>
                <w:sz w:val="24"/>
              </w:rPr>
              <w:t xml:space="preserve"> </w:t>
            </w:r>
          </w:p>
          <w:p>
            <w:pPr>
              <w:spacing w:after="12" w:line="240" w:lineRule="auto"/>
              <w:ind w:left="2"/>
            </w:pPr>
            <w:r>
              <w:rPr>
                <w:rFonts w:ascii="Times New Roman" w:hAnsi="Times New Roman" w:eastAsia="Times New Roman" w:cs="Times New Roman"/>
                <w:sz w:val="24"/>
              </w:rPr>
              <w:t xml:space="preserve"> </w:t>
            </w:r>
          </w:p>
          <w:p>
            <w:pPr>
              <w:spacing w:after="12" w:line="240" w:lineRule="auto"/>
              <w:ind w:left="2"/>
            </w:pPr>
            <w:r>
              <w:rPr>
                <w:rFonts w:ascii="Times New Roman" w:hAnsi="Times New Roman" w:eastAsia="Times New Roman" w:cs="Times New Roman"/>
                <w:sz w:val="24"/>
              </w:rPr>
              <w:t xml:space="preserve"> </w:t>
            </w:r>
          </w:p>
          <w:p>
            <w:pPr>
              <w:spacing w:after="0" w:line="240" w:lineRule="auto"/>
              <w:ind w:left="2"/>
            </w:pPr>
            <w:r>
              <w:rPr>
                <w:rFonts w:ascii="Times New Roman" w:hAnsi="Times New Roman" w:eastAsia="Times New Roman" w:cs="Times New Roman"/>
                <w:sz w:val="24"/>
              </w:rPr>
              <w:t xml:space="preserve"> </w:t>
            </w:r>
          </w:p>
        </w:tc>
        <w:tc>
          <w:tcPr>
            <w:tcW w:w="2660" w:type="dxa"/>
            <w:tcBorders>
              <w:top w:val="single" w:color="000000" w:sz="4" w:space="0"/>
              <w:left w:val="nil"/>
              <w:bottom w:val="single" w:color="000000" w:sz="4" w:space="0"/>
              <w:right w:val="single" w:color="000000" w:sz="4" w:space="0"/>
            </w:tcBorders>
          </w:tcPr>
          <w:p>
            <w:pPr>
              <w:spacing w:after="0" w:line="240" w:lineRule="auto"/>
            </w:pPr>
          </w:p>
        </w:tc>
      </w:tr>
    </w:tbl>
    <w:p>
      <w:pPr>
        <w:rPr>
          <w:rFonts w:ascii="微软雅黑" w:hAnsi="微软雅黑" w:eastAsia="微软雅黑" w:cs="微软雅黑"/>
          <w:sz w:val="36"/>
        </w:rPr>
      </w:pPr>
      <w:r>
        <w:br w:type="page"/>
      </w:r>
    </w:p>
    <w:p>
      <w:pPr>
        <w:pStyle w:val="3"/>
        <w:ind w:right="-334"/>
        <w:jc w:val="center"/>
      </w:pPr>
      <w:r>
        <w:t>10.医学类、公安类专业相关部门意见</w:t>
      </w:r>
    </w:p>
    <w:p>
      <w:pPr>
        <w:spacing w:after="158"/>
        <w:ind w:left="133"/>
        <w:jc w:val="center"/>
      </w:pPr>
      <w:r>
        <w:rPr>
          <w:rFonts w:ascii="Times New Roman" w:hAnsi="Times New Roman" w:eastAsia="Times New Roman" w:cs="Times New Roman"/>
          <w:sz w:val="24"/>
        </w:rPr>
        <w:t xml:space="preserve"> </w:t>
      </w: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r>
        <w:rPr>
          <w:rFonts w:ascii="微软雅黑" w:hAnsi="微软雅黑" w:eastAsia="微软雅黑" w:cs="微软雅黑"/>
          <w:sz w:val="24"/>
        </w:rPr>
        <w:t>（应出具省级卫生部门、公安部门对增设专业意见的公函并加盖公章）</w:t>
      </w:r>
      <w:r>
        <w:rPr>
          <w:rFonts w:ascii="Times New Roman" w:hAnsi="Times New Roman" w:eastAsia="Times New Roman" w:cs="Times New Roman"/>
          <w:sz w:val="24"/>
        </w:rPr>
        <w:t xml:space="preserve"> </w:t>
      </w: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rPr>
          <w:rFonts w:ascii="Times New Roman" w:hAnsi="Times New Roman" w:eastAsia="Times New Roman" w:cs="Times New Roman"/>
          <w:sz w:val="24"/>
        </w:rPr>
      </w:pPr>
    </w:p>
    <w:p>
      <w:pPr>
        <w:pBdr>
          <w:top w:val="single" w:color="000000" w:sz="4" w:space="0"/>
          <w:left w:val="single" w:color="000000" w:sz="4" w:space="0"/>
          <w:bottom w:val="single" w:color="000000" w:sz="4" w:space="0"/>
          <w:right w:val="single" w:color="000000" w:sz="4" w:space="0"/>
        </w:pBdr>
        <w:spacing w:after="141"/>
        <w:ind w:left="117" w:hanging="10"/>
      </w:pPr>
    </w:p>
    <w:p>
      <w:pPr>
        <w:spacing w:after="0"/>
      </w:pPr>
    </w:p>
    <w:sectPr>
      <w:pgSz w:w="11906" w:h="16838"/>
      <w:pgMar w:top="720" w:right="720" w:bottom="720" w:left="720" w:header="720" w:footer="72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 w:name="FangSong_GB2312">
    <w:altName w:val="仿宋"/>
    <w:panose1 w:val="02010609060101010101"/>
    <w:charset w:val="86"/>
    <w:family w:val="modern"/>
    <w:pitch w:val="default"/>
    <w:sig w:usb0="00000000" w:usb1="00000000"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8</w:t>
                          </w:r>
                          <w:r>
                            <w:rPr>
                              <w:rFonts w:hint="eastAsia" w:eastAsia="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LOYfwO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&#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ss5h/A4CAAAJBAAADgAAAAAAAAABACAAAAAf&#10;AQAAZHJzL2Uyb0RvYy54bWxQSwUGAAAAAAYABgBZAQAAnwUAAAAA&#10;">
              <v:fill on="f" focussize="0,0"/>
              <v:stroke on="f" weight="0.5pt"/>
              <v:imagedata o:title=""/>
              <o:lock v:ext="edit" aspectratio="f"/>
              <v:textbox inset="0mm,0mm,0mm,0mm" style="mso-fit-shape-to-text:t;">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8</w:t>
                    </w:r>
                    <w:r>
                      <w:rPr>
                        <w:rFonts w:hint="eastAsia" w:eastAsia="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1</w:t>
                          </w:r>
                          <w:r>
                            <w:rPr>
                              <w:rFonts w:hint="eastAsia" w:eastAsia="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1</w:t>
                    </w:r>
                    <w:r>
                      <w:rPr>
                        <w:rFonts w:hint="eastAsia" w:eastAsia="宋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hint="eastAsia" w:eastAsia="宋体"/>
                            </w:rPr>
                            <w:t>1</w:t>
                          </w:r>
                          <w:r>
                            <w:rPr>
                              <w:rFonts w:hint="eastAsia" w:eastAsia="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zDmYQ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7sw5mEAIAAAkEAAAOAAAAAAAAAAEAIAAA&#10;AB8BAABkcnMvZTJvRG9jLnhtbFBLBQYAAAAABgAGAFkBAAChBQAAAAA=&#10;">
              <v:fill on="f" focussize="0,0"/>
              <v:stroke on="f" weight="0.5pt"/>
              <v:imagedata o:title=""/>
              <o:lock v:ext="edit" aspectratio="f"/>
              <v:textbox inset="0mm,0mm,0mm,0mm" style="mso-fit-shape-to-text:t;">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hint="eastAsia" w:eastAsia="宋体"/>
                      </w:rPr>
                      <w:t>1</w:t>
                    </w:r>
                    <w:r>
                      <w:rPr>
                        <w:rFonts w:hint="eastAsia" w:eastAsia="宋体"/>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7456" behindDoc="0" locked="0" layoutInCell="1" allowOverlap="1">
              <wp:simplePos x="0" y="0"/>
              <wp:positionH relativeFrom="margin">
                <wp:posOffset>3347085</wp:posOffset>
              </wp:positionH>
              <wp:positionV relativeFrom="paragraph">
                <wp:posOffset>-169545</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40</w:t>
                          </w:r>
                          <w:r>
                            <w:rPr>
                              <w:rFonts w:hint="eastAsia" w:eastAsia="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63.55pt;margin-top:-13.35pt;height:144pt;width:144pt;mso-position-horizontal-relative:margin;mso-wrap-style:none;z-index:251667456;mso-width-relative:page;mso-height-relative:page;" filled="f" stroked="f" coordsize="21600,21600" o:gfxdata="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WESesdkAAAALAQAADwAAAAAAAAAB&#10;ACAAAAAiAAAAZHJzL2Rvd25yZXYueG1sUEsBAhQAFAAAAAgAh07iQANl+6YPAgAACQQAAA4AAAAA&#10;AAAAAQAgAAAAKAEAAGRycy9lMm9Eb2MueG1sUEsFBgAAAAAGAAYAWQEAAKkFAAAAAA==&#10;">
              <v:fill on="f" focussize="0,0"/>
              <v:stroke on="f" weight="0.5pt"/>
              <v:imagedata o:title=""/>
              <o:lock v:ext="edit" aspectratio="f"/>
              <v:textbox inset="0mm,0mm,0mm,0mm" style="mso-fit-shape-to-text:t;">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40</w:t>
                    </w:r>
                    <w:r>
                      <w:rPr>
                        <w:rFonts w:hint="eastAsia" w:eastAsia="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hint="eastAsia" w:eastAsia="宋体"/>
                            </w:rPr>
                            <w:t>4</w:t>
                          </w:r>
                          <w:r>
                            <w:rPr>
                              <w:rFonts w:hint="eastAsia" w:eastAsia="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soqOYQ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S4lmCjs6/fh++vlw+vWNwAeCWutnyNtYZIbunemQPPg9nHHu&#10;rnIqfjERQRxUHy/0ii4QHi9NJ9NpjhBHbPgBfvZ43Tof3gujSDQK6rC/RCs7rH3oU4eUWE2bVSNl&#10;2qHUpC3o1es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rKKjmEAIAAAkEAAAOAAAAAAAAAAEAIAAA&#10;AB8BAABkcnMvZTJvRG9jLnhtbFBLBQYAAAAABgAGAFkBAAChBQAAAAA=&#10;">
              <v:fill on="f" focussize="0,0"/>
              <v:stroke on="f" weight="0.5pt"/>
              <v:imagedata o:title=""/>
              <o:lock v:ext="edit" aspectratio="f"/>
              <v:textbox inset="0mm,0mm,0mm,0mm" style="mso-fit-shape-to-text:t;">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hint="eastAsia" w:eastAsia="宋体"/>
                      </w:rPr>
                      <w:t>4</w:t>
                    </w:r>
                    <w:r>
                      <w:rPr>
                        <w:rFonts w:hint="eastAsia" w:eastAsia="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42</w:t>
                          </w:r>
                          <w:r>
                            <w:rPr>
                              <w:rFonts w:hint="eastAsia" w:eastAsia="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GpaJM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DGpaJMPAgAACQQAAA4AAAAAAAAAAQAgAAAA&#10;HwEAAGRycy9lMm9Eb2MueG1sUEsFBgAAAAAGAAYAWQEAAKAFAAAAAA==&#10;">
              <v:fill on="f" focussize="0,0"/>
              <v:stroke on="f" weight="0.5pt"/>
              <v:imagedata o:title=""/>
              <o:lock v:ext="edit" aspectratio="f"/>
              <v:textbox inset="0mm,0mm,0mm,0mm" style="mso-fit-shape-to-text:t;">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42</w:t>
                    </w:r>
                    <w:r>
                      <w:rPr>
                        <w:rFonts w:hint="eastAsia" w:eastAsia="宋体"/>
                      </w:rPr>
                      <w:fldChar w:fldCharType="end"/>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eastAsia="宋体"/>
                            </w:rPr>
                          </w:pPr>
                          <w:r>
                            <w:rPr>
                              <w:rFonts w:hint="eastAsia" w:eastAsia="宋体"/>
                            </w:rPr>
                            <w:t>37</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qDMrwO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&#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GoMyvA4CAAAJBAAADgAAAAAAAAABACAAAAAf&#10;AQAAZHJzL2Uyb0RvYy54bWxQSwUGAAAAAAYABgBZAQAAnwUAAAAA&#10;">
              <v:fill on="f" focussize="0,0"/>
              <v:stroke on="f" weight="0.5pt"/>
              <v:imagedata o:title=""/>
              <o:lock v:ext="edit" aspectratio="f"/>
              <v:textbox inset="0mm,0mm,0mm,0mm" style="mso-fit-shape-to-text:t;">
                <w:txbxContent>
                  <w:p>
                    <w:pPr>
                      <w:pStyle w:val="4"/>
                      <w:rPr>
                        <w:rFonts w:eastAsia="宋体"/>
                      </w:rPr>
                    </w:pPr>
                    <w:r>
                      <w:rPr>
                        <w:rFonts w:hint="eastAsia" w:eastAsia="宋体"/>
                      </w:rPr>
                      <w:t>37</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49</w:t>
                          </w:r>
                          <w:r>
                            <w:rPr>
                              <w:rFonts w:hint="eastAsia" w:eastAsia="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XMo8R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OrijRTGFHpx/fTz9/n359I/CBoNb6GfI2Fpmhe2c6LHrwezjj&#10;3F3lVPxiIoI4qD5e6BVdIDxemk6m0xwhjtjwA/zs6bp1PrwXRpFoFNRhf4lWdlj70KcOKbGaNqtG&#10;yrRDqUlb0Ourt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spcyjxECAAAJBAAADgAAAAAAAAABACAA&#10;AAAfAQAAZHJzL2Uyb0RvYy54bWxQSwUGAAAAAAYABgBZAQAAogUAAAAA&#10;">
              <v:fill on="f" focussize="0,0"/>
              <v:stroke on="f" weight="0.5pt"/>
              <v:imagedata o:title=""/>
              <o:lock v:ext="edit" aspectratio="f"/>
              <v:textbox inset="0mm,0mm,0mm,0mm" style="mso-fit-shape-to-text:t;">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49</w:t>
                    </w:r>
                    <w:r>
                      <w:rPr>
                        <w:rFonts w:hint="eastAsia" w:eastAsia="宋体"/>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93056" behindDoc="0" locked="0" layoutInCell="1" allowOverlap="1">
              <wp:simplePos x="0" y="0"/>
              <wp:positionH relativeFrom="margin">
                <wp:posOffset>3124200</wp:posOffset>
              </wp:positionH>
              <wp:positionV relativeFrom="paragraph">
                <wp:posOffset>20320</wp:posOffset>
              </wp:positionV>
              <wp:extent cx="154305" cy="21971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54305" cy="2197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43</w:t>
                          </w:r>
                          <w:r>
                            <w:rPr>
                              <w:rFonts w:hint="eastAsia" w:eastAsia="宋体"/>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46pt;margin-top:1.6pt;height:17.3pt;width:12.15pt;mso-position-horizontal-relative:margin;z-index:251693056;mso-width-relative:page;mso-height-relative:page;" filled="f" stroked="f" coordsize="21600,21600" o:gfxdata="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VUMA1wAAAAgBAAAPAAAA&#10;AAAAAAEAIAAAACIAAABkcnMvZG93bnJldi54bWxQSwECFAAUAAAACACHTuJAOGfMrBYCAAAJBAAA&#10;DgAAAAAAAAABACAAAAAmAQAAZHJzL2Uyb0RvYy54bWxQSwUGAAAAAAYABgBZAQAArgUAAAAA&#10;">
              <v:fill on="f" focussize="0,0"/>
              <v:stroke on="f" weight="0.5pt"/>
              <v:imagedata o:title=""/>
              <o:lock v:ext="edit" aspectratio="f"/>
              <v:textbox inset="0mm,0mm,0mm,0mm">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43</w:t>
                    </w:r>
                    <w:r>
                      <w:rPr>
                        <w:rFonts w:hint="eastAsia" w:eastAsia="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A71C09"/>
    <w:multiLevelType w:val="singleLevel"/>
    <w:tmpl w:val="9FA71C09"/>
    <w:lvl w:ilvl="0" w:tentative="0">
      <w:start w:val="1"/>
      <w:numFmt w:val="decimal"/>
      <w:suff w:val="space"/>
      <w:lvlText w:val="%1."/>
      <w:lvlJc w:val="left"/>
    </w:lvl>
  </w:abstractNum>
  <w:abstractNum w:abstractNumId="1">
    <w:nsid w:val="AF4F8D10"/>
    <w:multiLevelType w:val="singleLevel"/>
    <w:tmpl w:val="AF4F8D10"/>
    <w:lvl w:ilvl="0" w:tentative="0">
      <w:start w:val="1"/>
      <w:numFmt w:val="bullet"/>
      <w:lvlText w:val=""/>
      <w:lvlJc w:val="left"/>
      <w:pPr>
        <w:ind w:left="420" w:hanging="420"/>
      </w:pPr>
      <w:rPr>
        <w:rFonts w:hint="default" w:ascii="Wingdings" w:hAnsi="Wingdings"/>
      </w:rPr>
    </w:lvl>
  </w:abstractNum>
  <w:abstractNum w:abstractNumId="2">
    <w:nsid w:val="EDE724A6"/>
    <w:multiLevelType w:val="singleLevel"/>
    <w:tmpl w:val="EDE724A6"/>
    <w:lvl w:ilvl="0" w:tentative="0">
      <w:start w:val="2"/>
      <w:numFmt w:val="chineseCounting"/>
      <w:suff w:val="space"/>
      <w:lvlText w:val="%1、"/>
      <w:lvlJc w:val="left"/>
      <w:rPr>
        <w:rFonts w:hint="eastAsia"/>
      </w:rPr>
    </w:lvl>
  </w:abstractNum>
  <w:abstractNum w:abstractNumId="3">
    <w:nsid w:val="FF387189"/>
    <w:multiLevelType w:val="singleLevel"/>
    <w:tmpl w:val="FF387189"/>
    <w:lvl w:ilvl="0" w:tentative="0">
      <w:start w:val="7"/>
      <w:numFmt w:val="decimal"/>
      <w:lvlText w:val="%1."/>
      <w:lvlJc w:val="left"/>
      <w:pPr>
        <w:tabs>
          <w:tab w:val="left" w:pos="312"/>
        </w:tabs>
      </w:pPr>
    </w:lvl>
  </w:abstractNum>
  <w:abstractNum w:abstractNumId="4">
    <w:nsid w:val="26A9EEC7"/>
    <w:multiLevelType w:val="singleLevel"/>
    <w:tmpl w:val="26A9EEC7"/>
    <w:lvl w:ilvl="0" w:tentative="0">
      <w:start w:val="1"/>
      <w:numFmt w:val="decimal"/>
      <w:suff w:val="space"/>
      <w:lvlText w:val="%1."/>
      <w:lvlJc w:val="left"/>
    </w:lvl>
  </w:abstractNum>
  <w:abstractNum w:abstractNumId="5">
    <w:nsid w:val="507C0975"/>
    <w:multiLevelType w:val="singleLevel"/>
    <w:tmpl w:val="507C0975"/>
    <w:lvl w:ilvl="0" w:tentative="0">
      <w:start w:val="2"/>
      <w:numFmt w:val="chineseCounting"/>
      <w:suff w:val="nothing"/>
      <w:lvlText w:val="（%1）"/>
      <w:lvlJc w:val="left"/>
      <w:rPr>
        <w:rFonts w:hint="eastAsi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cumentProtection w:enforcement="0"/>
  <w:defaultTabStop w:val="7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DMyNjU2MjI2NjUAAiUdpeDU4uLM/DyQAsNaANeiqfAsAAAA"/>
  </w:docVars>
  <w:rsids>
    <w:rsidRoot w:val="007317ED"/>
    <w:rsid w:val="000D09D2"/>
    <w:rsid w:val="000E50D5"/>
    <w:rsid w:val="0017350C"/>
    <w:rsid w:val="001D457F"/>
    <w:rsid w:val="0025794A"/>
    <w:rsid w:val="00264722"/>
    <w:rsid w:val="002D54C2"/>
    <w:rsid w:val="003120FB"/>
    <w:rsid w:val="00344994"/>
    <w:rsid w:val="003E30E9"/>
    <w:rsid w:val="00412B51"/>
    <w:rsid w:val="00456098"/>
    <w:rsid w:val="00485652"/>
    <w:rsid w:val="004A5151"/>
    <w:rsid w:val="00517533"/>
    <w:rsid w:val="005F69ED"/>
    <w:rsid w:val="00600A0D"/>
    <w:rsid w:val="006946B2"/>
    <w:rsid w:val="006C6924"/>
    <w:rsid w:val="00705ADF"/>
    <w:rsid w:val="007317ED"/>
    <w:rsid w:val="008D2233"/>
    <w:rsid w:val="00955BD7"/>
    <w:rsid w:val="00A5732B"/>
    <w:rsid w:val="00AF16B6"/>
    <w:rsid w:val="00B67601"/>
    <w:rsid w:val="00C3704F"/>
    <w:rsid w:val="00C909A8"/>
    <w:rsid w:val="00CD6894"/>
    <w:rsid w:val="00D03FC5"/>
    <w:rsid w:val="00DE40C5"/>
    <w:rsid w:val="00E935F2"/>
    <w:rsid w:val="00EE3546"/>
    <w:rsid w:val="00F12EB8"/>
    <w:rsid w:val="028371F4"/>
    <w:rsid w:val="02913722"/>
    <w:rsid w:val="02A11A0D"/>
    <w:rsid w:val="02B801AD"/>
    <w:rsid w:val="02D308A2"/>
    <w:rsid w:val="02EC6C60"/>
    <w:rsid w:val="03247FAD"/>
    <w:rsid w:val="037A3D9F"/>
    <w:rsid w:val="03E646B6"/>
    <w:rsid w:val="03F37F7D"/>
    <w:rsid w:val="043E74ED"/>
    <w:rsid w:val="047559D9"/>
    <w:rsid w:val="04802235"/>
    <w:rsid w:val="04BF73EF"/>
    <w:rsid w:val="051D5161"/>
    <w:rsid w:val="05C405FB"/>
    <w:rsid w:val="06711AAD"/>
    <w:rsid w:val="06C22882"/>
    <w:rsid w:val="07894345"/>
    <w:rsid w:val="078C2EAF"/>
    <w:rsid w:val="07983B99"/>
    <w:rsid w:val="07C809AB"/>
    <w:rsid w:val="08597CF2"/>
    <w:rsid w:val="08AC1310"/>
    <w:rsid w:val="08B45F57"/>
    <w:rsid w:val="09176E03"/>
    <w:rsid w:val="09535066"/>
    <w:rsid w:val="09676327"/>
    <w:rsid w:val="09801E85"/>
    <w:rsid w:val="09E40CDC"/>
    <w:rsid w:val="0A6E7C42"/>
    <w:rsid w:val="0AD756B3"/>
    <w:rsid w:val="0AEA336D"/>
    <w:rsid w:val="0BA8055B"/>
    <w:rsid w:val="0C1A3098"/>
    <w:rsid w:val="0C76555D"/>
    <w:rsid w:val="0CF67B94"/>
    <w:rsid w:val="0D0D4E7D"/>
    <w:rsid w:val="0D303C69"/>
    <w:rsid w:val="0E43177F"/>
    <w:rsid w:val="0EB50E74"/>
    <w:rsid w:val="0ED862E5"/>
    <w:rsid w:val="0EE6525D"/>
    <w:rsid w:val="0F5343E9"/>
    <w:rsid w:val="10B24CE7"/>
    <w:rsid w:val="10D07E3E"/>
    <w:rsid w:val="10D30BA2"/>
    <w:rsid w:val="111E2DE6"/>
    <w:rsid w:val="11443A5A"/>
    <w:rsid w:val="1168275C"/>
    <w:rsid w:val="12157ADE"/>
    <w:rsid w:val="12AB441B"/>
    <w:rsid w:val="12B931FD"/>
    <w:rsid w:val="12DB4A63"/>
    <w:rsid w:val="12F30049"/>
    <w:rsid w:val="134658E9"/>
    <w:rsid w:val="138142CB"/>
    <w:rsid w:val="138C2D69"/>
    <w:rsid w:val="13C20BFD"/>
    <w:rsid w:val="13EF0793"/>
    <w:rsid w:val="142420C5"/>
    <w:rsid w:val="144A17A8"/>
    <w:rsid w:val="145946D8"/>
    <w:rsid w:val="14F01DA9"/>
    <w:rsid w:val="14F07AF9"/>
    <w:rsid w:val="15DA50E6"/>
    <w:rsid w:val="15DA516C"/>
    <w:rsid w:val="15E32A07"/>
    <w:rsid w:val="15F032A2"/>
    <w:rsid w:val="1610625F"/>
    <w:rsid w:val="16661D96"/>
    <w:rsid w:val="167E2369"/>
    <w:rsid w:val="168C1047"/>
    <w:rsid w:val="16C81072"/>
    <w:rsid w:val="170472D6"/>
    <w:rsid w:val="17452788"/>
    <w:rsid w:val="17670AEF"/>
    <w:rsid w:val="177E48B6"/>
    <w:rsid w:val="18213A33"/>
    <w:rsid w:val="197F5A26"/>
    <w:rsid w:val="19940E69"/>
    <w:rsid w:val="1AA41466"/>
    <w:rsid w:val="1B3511E0"/>
    <w:rsid w:val="1B4F26C1"/>
    <w:rsid w:val="1B5B55D1"/>
    <w:rsid w:val="1C3E2BD9"/>
    <w:rsid w:val="1C6170E6"/>
    <w:rsid w:val="1C644D7E"/>
    <w:rsid w:val="1C6E56DC"/>
    <w:rsid w:val="1D0C5A47"/>
    <w:rsid w:val="1D1F5F4B"/>
    <w:rsid w:val="1D6D19E6"/>
    <w:rsid w:val="1D7B7B3F"/>
    <w:rsid w:val="1D835C50"/>
    <w:rsid w:val="1DFF21BA"/>
    <w:rsid w:val="1E0978C3"/>
    <w:rsid w:val="201F55C2"/>
    <w:rsid w:val="204E18D8"/>
    <w:rsid w:val="20A316DA"/>
    <w:rsid w:val="2102351E"/>
    <w:rsid w:val="2136069A"/>
    <w:rsid w:val="218D7DCB"/>
    <w:rsid w:val="219E296F"/>
    <w:rsid w:val="22190D46"/>
    <w:rsid w:val="227031B8"/>
    <w:rsid w:val="227B1B4E"/>
    <w:rsid w:val="230F1083"/>
    <w:rsid w:val="241D3FA7"/>
    <w:rsid w:val="244B227E"/>
    <w:rsid w:val="245B277B"/>
    <w:rsid w:val="24C1610A"/>
    <w:rsid w:val="24E24695"/>
    <w:rsid w:val="25511353"/>
    <w:rsid w:val="267616DC"/>
    <w:rsid w:val="268958DD"/>
    <w:rsid w:val="26C3064F"/>
    <w:rsid w:val="274065B2"/>
    <w:rsid w:val="289363B6"/>
    <w:rsid w:val="290A5F84"/>
    <w:rsid w:val="292B54F1"/>
    <w:rsid w:val="294B40F0"/>
    <w:rsid w:val="29574B37"/>
    <w:rsid w:val="297263E1"/>
    <w:rsid w:val="29E7599B"/>
    <w:rsid w:val="2A4E3BED"/>
    <w:rsid w:val="2A5D2127"/>
    <w:rsid w:val="2B5D7611"/>
    <w:rsid w:val="2B7A0E52"/>
    <w:rsid w:val="2BD01F48"/>
    <w:rsid w:val="2BDD69B6"/>
    <w:rsid w:val="2BF7313A"/>
    <w:rsid w:val="2C412174"/>
    <w:rsid w:val="2C8D4D9D"/>
    <w:rsid w:val="2CA3316E"/>
    <w:rsid w:val="2CBC2F2E"/>
    <w:rsid w:val="2CEA3D8A"/>
    <w:rsid w:val="2D2A2902"/>
    <w:rsid w:val="2D3214DF"/>
    <w:rsid w:val="2D4174BD"/>
    <w:rsid w:val="2D927416"/>
    <w:rsid w:val="2DBC7685"/>
    <w:rsid w:val="2DF17216"/>
    <w:rsid w:val="2E395420"/>
    <w:rsid w:val="2E7C1963"/>
    <w:rsid w:val="2E8B5B24"/>
    <w:rsid w:val="2E9853CF"/>
    <w:rsid w:val="2F6A4AB6"/>
    <w:rsid w:val="2F6F4BAE"/>
    <w:rsid w:val="2F9C5BD2"/>
    <w:rsid w:val="2FD22732"/>
    <w:rsid w:val="300D5DDA"/>
    <w:rsid w:val="307021F3"/>
    <w:rsid w:val="31341FC0"/>
    <w:rsid w:val="31D13C70"/>
    <w:rsid w:val="31F811EA"/>
    <w:rsid w:val="32AB119C"/>
    <w:rsid w:val="33763510"/>
    <w:rsid w:val="34271968"/>
    <w:rsid w:val="343D1650"/>
    <w:rsid w:val="347C4408"/>
    <w:rsid w:val="34941C3B"/>
    <w:rsid w:val="35197853"/>
    <w:rsid w:val="355208B2"/>
    <w:rsid w:val="355563BD"/>
    <w:rsid w:val="36733792"/>
    <w:rsid w:val="369A3883"/>
    <w:rsid w:val="36A50CBC"/>
    <w:rsid w:val="377D7FC2"/>
    <w:rsid w:val="37C569DD"/>
    <w:rsid w:val="37CA7530"/>
    <w:rsid w:val="37F31B5C"/>
    <w:rsid w:val="37F77E83"/>
    <w:rsid w:val="382C6D1E"/>
    <w:rsid w:val="389C5A8B"/>
    <w:rsid w:val="392B7183"/>
    <w:rsid w:val="3A600610"/>
    <w:rsid w:val="3A993338"/>
    <w:rsid w:val="3AB178FF"/>
    <w:rsid w:val="3ADF2692"/>
    <w:rsid w:val="3B79639B"/>
    <w:rsid w:val="3BB76751"/>
    <w:rsid w:val="3BE85CEB"/>
    <w:rsid w:val="3BFD71E8"/>
    <w:rsid w:val="3C1E67F1"/>
    <w:rsid w:val="3C383658"/>
    <w:rsid w:val="3C7703D8"/>
    <w:rsid w:val="3CA81E1A"/>
    <w:rsid w:val="3CFC4CCD"/>
    <w:rsid w:val="3D0F2DAA"/>
    <w:rsid w:val="3D2C5D9E"/>
    <w:rsid w:val="3DA72810"/>
    <w:rsid w:val="3DB27F75"/>
    <w:rsid w:val="3DB95221"/>
    <w:rsid w:val="3DF03FE1"/>
    <w:rsid w:val="3E4A5A37"/>
    <w:rsid w:val="3E7235D6"/>
    <w:rsid w:val="3E987AA4"/>
    <w:rsid w:val="3E996559"/>
    <w:rsid w:val="3EC25FD8"/>
    <w:rsid w:val="3F7056EC"/>
    <w:rsid w:val="3F7C6060"/>
    <w:rsid w:val="3FCF73B0"/>
    <w:rsid w:val="3FD74816"/>
    <w:rsid w:val="3FF53893"/>
    <w:rsid w:val="401B38A2"/>
    <w:rsid w:val="40B406B3"/>
    <w:rsid w:val="40BE26FD"/>
    <w:rsid w:val="40D80B00"/>
    <w:rsid w:val="40EC18D8"/>
    <w:rsid w:val="40F67890"/>
    <w:rsid w:val="41CD36A6"/>
    <w:rsid w:val="426A22B8"/>
    <w:rsid w:val="42B86B82"/>
    <w:rsid w:val="42C60CED"/>
    <w:rsid w:val="42D07F7C"/>
    <w:rsid w:val="42D54630"/>
    <w:rsid w:val="42DD1534"/>
    <w:rsid w:val="430644E8"/>
    <w:rsid w:val="4360678C"/>
    <w:rsid w:val="442A017F"/>
    <w:rsid w:val="44BD4ACF"/>
    <w:rsid w:val="45174701"/>
    <w:rsid w:val="4539170D"/>
    <w:rsid w:val="46382E27"/>
    <w:rsid w:val="46433010"/>
    <w:rsid w:val="466D5166"/>
    <w:rsid w:val="46E331AE"/>
    <w:rsid w:val="46FF3B2D"/>
    <w:rsid w:val="470872D6"/>
    <w:rsid w:val="473B57C6"/>
    <w:rsid w:val="475654C4"/>
    <w:rsid w:val="47943241"/>
    <w:rsid w:val="479D6365"/>
    <w:rsid w:val="47B7259A"/>
    <w:rsid w:val="47D4230F"/>
    <w:rsid w:val="47DB27EC"/>
    <w:rsid w:val="47DE002A"/>
    <w:rsid w:val="48917B71"/>
    <w:rsid w:val="48921CB6"/>
    <w:rsid w:val="489A579B"/>
    <w:rsid w:val="49240660"/>
    <w:rsid w:val="49346821"/>
    <w:rsid w:val="4A016DE7"/>
    <w:rsid w:val="4A0C6A22"/>
    <w:rsid w:val="4A0D7828"/>
    <w:rsid w:val="4A856437"/>
    <w:rsid w:val="4A971DB3"/>
    <w:rsid w:val="4ACB6B37"/>
    <w:rsid w:val="4BC816A0"/>
    <w:rsid w:val="4BD141B2"/>
    <w:rsid w:val="4BF40971"/>
    <w:rsid w:val="4C184102"/>
    <w:rsid w:val="4C193C48"/>
    <w:rsid w:val="4C303661"/>
    <w:rsid w:val="4CAB7E2C"/>
    <w:rsid w:val="4E13660D"/>
    <w:rsid w:val="4E56168E"/>
    <w:rsid w:val="4EA93969"/>
    <w:rsid w:val="4EBC0B07"/>
    <w:rsid w:val="4EC0205D"/>
    <w:rsid w:val="4F0A1CAB"/>
    <w:rsid w:val="4F957A63"/>
    <w:rsid w:val="4FA31882"/>
    <w:rsid w:val="4FCE6422"/>
    <w:rsid w:val="4FE006E2"/>
    <w:rsid w:val="502B1B90"/>
    <w:rsid w:val="50312F6E"/>
    <w:rsid w:val="503A35DE"/>
    <w:rsid w:val="50BC036D"/>
    <w:rsid w:val="51526561"/>
    <w:rsid w:val="52425AEE"/>
    <w:rsid w:val="52437B2E"/>
    <w:rsid w:val="524C340D"/>
    <w:rsid w:val="52581A7E"/>
    <w:rsid w:val="52B0488F"/>
    <w:rsid w:val="52BA1BDE"/>
    <w:rsid w:val="52F56925"/>
    <w:rsid w:val="532B74BC"/>
    <w:rsid w:val="534C353A"/>
    <w:rsid w:val="53DE3C49"/>
    <w:rsid w:val="54B95D7A"/>
    <w:rsid w:val="56053634"/>
    <w:rsid w:val="562C2FFB"/>
    <w:rsid w:val="564F1B73"/>
    <w:rsid w:val="56BE11AF"/>
    <w:rsid w:val="56F60C2F"/>
    <w:rsid w:val="56F8699C"/>
    <w:rsid w:val="56FB432B"/>
    <w:rsid w:val="56FF5E60"/>
    <w:rsid w:val="57717728"/>
    <w:rsid w:val="577C07E1"/>
    <w:rsid w:val="578B785B"/>
    <w:rsid w:val="57F30986"/>
    <w:rsid w:val="58767B0F"/>
    <w:rsid w:val="58E04A09"/>
    <w:rsid w:val="58FC33DE"/>
    <w:rsid w:val="5A1D3C9A"/>
    <w:rsid w:val="5AB95EDA"/>
    <w:rsid w:val="5B3D30FE"/>
    <w:rsid w:val="5B433EEF"/>
    <w:rsid w:val="5BC835F5"/>
    <w:rsid w:val="5BE9540F"/>
    <w:rsid w:val="5C465AE9"/>
    <w:rsid w:val="5C6A1726"/>
    <w:rsid w:val="5C8006BB"/>
    <w:rsid w:val="5C9157D4"/>
    <w:rsid w:val="5CA11F1B"/>
    <w:rsid w:val="5D596971"/>
    <w:rsid w:val="5D7924A2"/>
    <w:rsid w:val="5DAA7ADB"/>
    <w:rsid w:val="5DB05FD7"/>
    <w:rsid w:val="5E0D0ADE"/>
    <w:rsid w:val="5E123C9E"/>
    <w:rsid w:val="5E563237"/>
    <w:rsid w:val="5E5974EA"/>
    <w:rsid w:val="5E876460"/>
    <w:rsid w:val="5EBC717E"/>
    <w:rsid w:val="5EFB122D"/>
    <w:rsid w:val="5EFB7CC8"/>
    <w:rsid w:val="5F0726B3"/>
    <w:rsid w:val="5F19404A"/>
    <w:rsid w:val="5F407C42"/>
    <w:rsid w:val="60BA7A17"/>
    <w:rsid w:val="61167D95"/>
    <w:rsid w:val="61173983"/>
    <w:rsid w:val="61207963"/>
    <w:rsid w:val="6139622D"/>
    <w:rsid w:val="61532377"/>
    <w:rsid w:val="61CE7F59"/>
    <w:rsid w:val="61D30205"/>
    <w:rsid w:val="62B24328"/>
    <w:rsid w:val="62B626BF"/>
    <w:rsid w:val="63E76C1C"/>
    <w:rsid w:val="642A7E0B"/>
    <w:rsid w:val="6430220F"/>
    <w:rsid w:val="645106ED"/>
    <w:rsid w:val="64737CB1"/>
    <w:rsid w:val="658855E0"/>
    <w:rsid w:val="65B24157"/>
    <w:rsid w:val="668E4D87"/>
    <w:rsid w:val="66EA53C2"/>
    <w:rsid w:val="67083A7D"/>
    <w:rsid w:val="678D07AB"/>
    <w:rsid w:val="67F379B9"/>
    <w:rsid w:val="68002CAE"/>
    <w:rsid w:val="68011400"/>
    <w:rsid w:val="685C0438"/>
    <w:rsid w:val="686F12C1"/>
    <w:rsid w:val="68AA27CB"/>
    <w:rsid w:val="68B30FEB"/>
    <w:rsid w:val="690E4D19"/>
    <w:rsid w:val="69F467DC"/>
    <w:rsid w:val="6A2045BA"/>
    <w:rsid w:val="6A286515"/>
    <w:rsid w:val="6A2D289A"/>
    <w:rsid w:val="6A3B1306"/>
    <w:rsid w:val="6A592C64"/>
    <w:rsid w:val="6A927E29"/>
    <w:rsid w:val="6ABD3F93"/>
    <w:rsid w:val="6B244438"/>
    <w:rsid w:val="6B310A30"/>
    <w:rsid w:val="6B4A4CD0"/>
    <w:rsid w:val="6B627E94"/>
    <w:rsid w:val="6B9A1223"/>
    <w:rsid w:val="6BB67B6D"/>
    <w:rsid w:val="6BE73A78"/>
    <w:rsid w:val="6BFF14E7"/>
    <w:rsid w:val="6CF616DA"/>
    <w:rsid w:val="6DE10CEA"/>
    <w:rsid w:val="6DFD04FF"/>
    <w:rsid w:val="6E52298F"/>
    <w:rsid w:val="6E654E11"/>
    <w:rsid w:val="6EB00412"/>
    <w:rsid w:val="6F1F1B19"/>
    <w:rsid w:val="6F611E44"/>
    <w:rsid w:val="6FED3E10"/>
    <w:rsid w:val="709911EB"/>
    <w:rsid w:val="717B6C97"/>
    <w:rsid w:val="719E6AAA"/>
    <w:rsid w:val="71C631A6"/>
    <w:rsid w:val="721460E5"/>
    <w:rsid w:val="72437D5D"/>
    <w:rsid w:val="7255638D"/>
    <w:rsid w:val="728E3989"/>
    <w:rsid w:val="72B32987"/>
    <w:rsid w:val="73941F55"/>
    <w:rsid w:val="73B558EC"/>
    <w:rsid w:val="73C905F9"/>
    <w:rsid w:val="741A638A"/>
    <w:rsid w:val="74640FD6"/>
    <w:rsid w:val="74875EFC"/>
    <w:rsid w:val="74C05AE3"/>
    <w:rsid w:val="750C66FD"/>
    <w:rsid w:val="75B5084B"/>
    <w:rsid w:val="75E70399"/>
    <w:rsid w:val="761340A9"/>
    <w:rsid w:val="76EF578E"/>
    <w:rsid w:val="77582A28"/>
    <w:rsid w:val="77A3433D"/>
    <w:rsid w:val="78711C9B"/>
    <w:rsid w:val="78AF3FCA"/>
    <w:rsid w:val="78BB27B3"/>
    <w:rsid w:val="79053F9D"/>
    <w:rsid w:val="79322162"/>
    <w:rsid w:val="79DD5F82"/>
    <w:rsid w:val="7A024B6B"/>
    <w:rsid w:val="7A071355"/>
    <w:rsid w:val="7A1F72A8"/>
    <w:rsid w:val="7A5C6B68"/>
    <w:rsid w:val="7B0221A6"/>
    <w:rsid w:val="7B050B06"/>
    <w:rsid w:val="7B170578"/>
    <w:rsid w:val="7B9C4F53"/>
    <w:rsid w:val="7BC36385"/>
    <w:rsid w:val="7BD654E1"/>
    <w:rsid w:val="7C415A27"/>
    <w:rsid w:val="7C440E0E"/>
    <w:rsid w:val="7D091997"/>
    <w:rsid w:val="7D131CB4"/>
    <w:rsid w:val="7D5F3AAF"/>
    <w:rsid w:val="7D6557B3"/>
    <w:rsid w:val="7E0F59E5"/>
    <w:rsid w:val="7E921A6D"/>
    <w:rsid w:val="7EB27589"/>
    <w:rsid w:val="7EB77A7F"/>
    <w:rsid w:val="7ED57218"/>
    <w:rsid w:val="7EDF5F8C"/>
    <w:rsid w:val="7EE5404F"/>
    <w:rsid w:val="7F084E95"/>
    <w:rsid w:val="7F2C4542"/>
    <w:rsid w:val="7F5C0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color w:val="000000"/>
      <w:sz w:val="22"/>
      <w:szCs w:val="22"/>
      <w:lang w:val="en-US" w:eastAsia="zh-CN" w:bidi="ar-SA"/>
    </w:rPr>
  </w:style>
  <w:style w:type="paragraph" w:styleId="2">
    <w:name w:val="heading 1"/>
    <w:next w:val="1"/>
    <w:link w:val="15"/>
    <w:unhideWhenUsed/>
    <w:qFormat/>
    <w:uiPriority w:val="9"/>
    <w:pPr>
      <w:keepNext/>
      <w:keepLines/>
      <w:spacing w:after="41" w:line="259" w:lineRule="auto"/>
      <w:ind w:right="993"/>
      <w:jc w:val="right"/>
      <w:outlineLvl w:val="0"/>
    </w:pPr>
    <w:rPr>
      <w:rFonts w:ascii="微软雅黑" w:hAnsi="微软雅黑" w:eastAsia="微软雅黑" w:cs="微软雅黑"/>
      <w:color w:val="000000"/>
      <w:sz w:val="52"/>
      <w:szCs w:val="22"/>
      <w:lang w:val="en-US" w:eastAsia="zh-CN" w:bidi="ar-SA"/>
    </w:rPr>
  </w:style>
  <w:style w:type="paragraph" w:styleId="3">
    <w:name w:val="heading 2"/>
    <w:next w:val="1"/>
    <w:link w:val="14"/>
    <w:unhideWhenUsed/>
    <w:qFormat/>
    <w:uiPriority w:val="9"/>
    <w:pPr>
      <w:keepNext/>
      <w:keepLines/>
      <w:spacing w:after="0" w:line="259" w:lineRule="auto"/>
      <w:ind w:left="10" w:right="3420" w:hanging="10"/>
      <w:jc w:val="right"/>
      <w:outlineLvl w:val="1"/>
    </w:pPr>
    <w:rPr>
      <w:rFonts w:ascii="微软雅黑" w:hAnsi="微软雅黑" w:eastAsia="微软雅黑" w:cs="微软雅黑"/>
      <w:color w:val="000000"/>
      <w:sz w:val="36"/>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footer"/>
    <w:basedOn w:val="1"/>
    <w:semiHidden/>
    <w:unhideWhenUsed/>
    <w:qFormat/>
    <w:uiPriority w:val="99"/>
    <w:pPr>
      <w:tabs>
        <w:tab w:val="center" w:pos="4153"/>
        <w:tab w:val="right" w:pos="8306"/>
      </w:tabs>
      <w:snapToGrid w:val="0"/>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6">
    <w:name w:val="Normal (Web)"/>
    <w:basedOn w:val="1"/>
    <w:semiHidden/>
    <w:unhideWhenUsed/>
    <w:qFormat/>
    <w:uiPriority w:val="99"/>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sz w:val="24"/>
      <w:szCs w:val="24"/>
    </w:rPr>
  </w:style>
  <w:style w:type="character" w:styleId="11">
    <w:name w:val="Emphasis"/>
    <w:basedOn w:val="9"/>
    <w:qFormat/>
    <w:uiPriority w:val="20"/>
    <w:rPr>
      <w:color w:val="CC0000"/>
      <w:sz w:val="24"/>
      <w:szCs w:val="24"/>
    </w:rPr>
  </w:style>
  <w:style w:type="character" w:styleId="12">
    <w:name w:val="Hyperlink"/>
    <w:basedOn w:val="9"/>
    <w:semiHidden/>
    <w:unhideWhenUsed/>
    <w:qFormat/>
    <w:uiPriority w:val="99"/>
    <w:rPr>
      <w:color w:val="0000FF"/>
      <w:u w:val="single"/>
    </w:rPr>
  </w:style>
  <w:style w:type="character" w:styleId="13">
    <w:name w:val="HTML Cite"/>
    <w:basedOn w:val="9"/>
    <w:semiHidden/>
    <w:unhideWhenUsed/>
    <w:qFormat/>
    <w:uiPriority w:val="99"/>
    <w:rPr>
      <w:sz w:val="24"/>
      <w:szCs w:val="24"/>
    </w:rPr>
  </w:style>
  <w:style w:type="character" w:customStyle="1" w:styleId="14">
    <w:name w:val="Heading 2 Char"/>
    <w:link w:val="3"/>
    <w:qFormat/>
    <w:uiPriority w:val="0"/>
    <w:rPr>
      <w:rFonts w:ascii="微软雅黑" w:hAnsi="微软雅黑" w:eastAsia="微软雅黑" w:cs="微软雅黑"/>
      <w:color w:val="000000"/>
      <w:sz w:val="36"/>
    </w:rPr>
  </w:style>
  <w:style w:type="character" w:customStyle="1" w:styleId="15">
    <w:name w:val="Heading 1 Char"/>
    <w:link w:val="2"/>
    <w:qFormat/>
    <w:uiPriority w:val="0"/>
    <w:rPr>
      <w:rFonts w:ascii="微软雅黑" w:hAnsi="微软雅黑" w:eastAsia="微软雅黑" w:cs="微软雅黑"/>
      <w:color w:val="000000"/>
      <w:sz w:val="52"/>
    </w:rPr>
  </w:style>
  <w:style w:type="table" w:customStyle="1" w:styleId="16">
    <w:name w:val="TableGrid"/>
    <w:qFormat/>
    <w:uiPriority w:val="0"/>
    <w:pPr>
      <w:spacing w:after="0" w:line="240" w:lineRule="auto"/>
    </w:pPr>
    <w:tblPr>
      <w:tblLayout w:type="fixed"/>
      <w:tblCellMar>
        <w:top w:w="0" w:type="dxa"/>
        <w:left w:w="0" w:type="dxa"/>
        <w:bottom w:w="0" w:type="dxa"/>
        <w:right w:w="0" w:type="dxa"/>
      </w:tblCellMar>
    </w:tblPr>
  </w:style>
  <w:style w:type="character" w:customStyle="1" w:styleId="17">
    <w:name w:val="font141"/>
    <w:basedOn w:val="9"/>
    <w:qFormat/>
    <w:uiPriority w:val="0"/>
    <w:rPr>
      <w:rFonts w:hint="default" w:ascii="Times New Roman" w:hAnsi="Times New Roman" w:cs="Times New Roman"/>
      <w:b/>
      <w:color w:val="000000"/>
      <w:sz w:val="32"/>
      <w:szCs w:val="32"/>
      <w:u w:val="none"/>
    </w:rPr>
  </w:style>
  <w:style w:type="character" w:customStyle="1" w:styleId="18">
    <w:name w:val="font61"/>
    <w:basedOn w:val="9"/>
    <w:qFormat/>
    <w:uiPriority w:val="0"/>
    <w:rPr>
      <w:rFonts w:hint="eastAsia" w:ascii="宋体" w:hAnsi="宋体" w:eastAsia="宋体" w:cs="宋体"/>
      <w:b/>
      <w:color w:val="000000"/>
      <w:sz w:val="32"/>
      <w:szCs w:val="32"/>
      <w:u w:val="none"/>
    </w:rPr>
  </w:style>
  <w:style w:type="character" w:customStyle="1" w:styleId="19">
    <w:name w:val="font11"/>
    <w:basedOn w:val="9"/>
    <w:qFormat/>
    <w:uiPriority w:val="0"/>
    <w:rPr>
      <w:rFonts w:hint="eastAsia" w:ascii="宋体" w:hAnsi="宋体" w:eastAsia="宋体" w:cs="宋体"/>
      <w:color w:val="000000"/>
      <w:sz w:val="24"/>
      <w:szCs w:val="24"/>
      <w:u w:val="none"/>
    </w:rPr>
  </w:style>
  <w:style w:type="character" w:customStyle="1" w:styleId="20">
    <w:name w:val="font01"/>
    <w:basedOn w:val="9"/>
    <w:qFormat/>
    <w:uiPriority w:val="0"/>
    <w:rPr>
      <w:rFonts w:hint="eastAsia" w:ascii="宋体" w:hAnsi="宋体" w:eastAsia="宋体" w:cs="宋体"/>
      <w:color w:val="000000"/>
      <w:sz w:val="24"/>
      <w:szCs w:val="24"/>
      <w:u w:val="none"/>
    </w:rPr>
  </w:style>
  <w:style w:type="paragraph" w:customStyle="1" w:styleId="21">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University of Miami</Company>
  <Pages>56</Pages>
  <Words>4602</Words>
  <Characters>26234</Characters>
  <Lines>218</Lines>
  <Paragraphs>61</Paragraphs>
  <TotalTime>6</TotalTime>
  <ScaleCrop>false</ScaleCrop>
  <LinksUpToDate>false</LinksUpToDate>
  <CharactersWithSpaces>30775</CharactersWithSpaces>
  <Application>WPS Office_11.1.0.8771_F1E327BC-269C-435d-A152-05C5408002CA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2019-07-05T06:58:00Z</dcterms:created>
  <dc:creator>MC SYSTEM</dc:creator>
  <cp:lastModifiedBy>熊睿</cp:lastModifiedBy>
  <cp:lastPrinted>2019-07-03T09:11:00Z</cp:lastPrinted>
  <dcterms:modified xsi:type="dcterms:W3CDTF">2019-07-05T07:59:55Z</dcterms:modified>
  <dc:title>普通高等学校本科专业设置管理规定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2052-11.1.0.8771</vt:lpwstr>
  </property>
</Properties>
</file>