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jc w:val="left"/>
        <w:rPr>
          <w:rFonts w:ascii="黑体" w:hAnsi="黑体" w:eastAsia="黑体" w:cs="Arial"/>
          <w:b/>
          <w:bCs/>
          <w:color w:val="0000FF"/>
          <w:spacing w:val="3"/>
          <w:kern w:val="0"/>
          <w:sz w:val="24"/>
        </w:rPr>
      </w:pPr>
      <w:r>
        <w:rPr>
          <w:rFonts w:hint="eastAsia" w:ascii="黑体" w:hAnsi="黑体" w:eastAsia="黑体" w:cs="Arial"/>
          <w:b/>
          <w:bCs/>
          <w:color w:val="0000FF"/>
          <w:spacing w:val="3"/>
          <w:kern w:val="0"/>
          <w:sz w:val="24"/>
        </w:rPr>
        <w:t>附件2</w:t>
      </w:r>
      <w:r>
        <w:rPr>
          <w:rFonts w:ascii="黑体" w:hAnsi="黑体" w:eastAsia="黑体" w:cs="Arial"/>
          <w:b/>
          <w:bCs/>
          <w:color w:val="0000FF"/>
          <w:spacing w:val="3"/>
          <w:kern w:val="0"/>
          <w:sz w:val="24"/>
        </w:rPr>
        <w:t xml:space="preserve">            </w:t>
      </w:r>
      <w:r>
        <w:rPr>
          <w:rFonts w:hint="eastAsia" w:ascii="黑体" w:hAnsi="黑体" w:eastAsia="黑体" w:cs="Arial"/>
          <w:b/>
          <w:bCs/>
          <w:color w:val="0000FF"/>
          <w:spacing w:val="3"/>
          <w:kern w:val="0"/>
          <w:sz w:val="24"/>
        </w:rPr>
        <w:t>南昌大学第十四届大学生化学实验竞赛评分标准</w:t>
      </w:r>
    </w:p>
    <w:p>
      <w:pPr>
        <w:rPr>
          <w:rFonts w:hint="eastAsia" w:ascii="Times New Roman" w:hAnsi="Times New Roman"/>
          <w:sz w:val="24"/>
        </w:rPr>
      </w:pPr>
    </w:p>
    <w:p>
      <w:pPr>
        <w:spacing w:line="360" w:lineRule="auto"/>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作品</w:t>
      </w:r>
      <w:r>
        <w:rPr>
          <w:rFonts w:ascii="Times New Roman" w:hAnsi="Times New Roman"/>
          <w:b/>
          <w:bCs/>
          <w:sz w:val="24"/>
        </w:rPr>
        <w:t xml:space="preserve">内容（50 分） </w:t>
      </w:r>
    </w:p>
    <w:p>
      <w:pPr>
        <w:spacing w:line="360" w:lineRule="auto"/>
        <w:rPr>
          <w:rFonts w:ascii="Times New Roman" w:hAnsi="Times New Roman"/>
          <w:sz w:val="24"/>
        </w:rPr>
      </w:pPr>
      <w:r>
        <w:rPr>
          <w:rFonts w:ascii="Times New Roman" w:hAnsi="Times New Roman"/>
          <w:sz w:val="24"/>
        </w:rPr>
        <w:t xml:space="preserve">1.1 </w:t>
      </w:r>
      <w:r>
        <w:rPr>
          <w:rFonts w:hint="eastAsia" w:ascii="Times New Roman" w:hAnsi="Times New Roman"/>
          <w:sz w:val="24"/>
        </w:rPr>
        <w:t>新创和改进类实验作品内容</w:t>
      </w:r>
    </w:p>
    <w:p>
      <w:pPr>
        <w:spacing w:line="360" w:lineRule="auto"/>
        <w:rPr>
          <w:rFonts w:ascii="Times New Roman" w:hAnsi="Times New Roman"/>
          <w:sz w:val="24"/>
        </w:rPr>
      </w:pPr>
      <w:bookmarkStart w:id="0" w:name="_Hlk148356601"/>
      <w:r>
        <w:rPr>
          <w:rFonts w:ascii="Times New Roman" w:hAnsi="Times New Roman"/>
          <w:sz w:val="24"/>
        </w:rPr>
        <w:t>（1）</w:t>
      </w:r>
      <w:r>
        <w:rPr>
          <w:rFonts w:hint="eastAsia" w:ascii="Times New Roman" w:hAnsi="Times New Roman"/>
          <w:sz w:val="24"/>
        </w:rPr>
        <w:t>创新性</w:t>
      </w:r>
      <w:r>
        <w:rPr>
          <w:rFonts w:ascii="Times New Roman" w:hAnsi="Times New Roman"/>
          <w:sz w:val="24"/>
        </w:rPr>
        <w:t>（20 分）</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实验内容、教学方法或教学手段的新颖性、前沿性，对学生科研能力的训练。</w:t>
      </w:r>
    </w:p>
    <w:p>
      <w:pPr>
        <w:spacing w:line="360" w:lineRule="auto"/>
        <w:rPr>
          <w:rFonts w:ascii="Times New Roman" w:hAnsi="Times New Roman"/>
          <w:sz w:val="24"/>
        </w:rPr>
      </w:pPr>
      <w:r>
        <w:rPr>
          <w:rFonts w:ascii="Times New Roman" w:hAnsi="Times New Roman"/>
          <w:sz w:val="24"/>
        </w:rPr>
        <w:t>（2）</w:t>
      </w:r>
      <w:r>
        <w:rPr>
          <w:rFonts w:hint="eastAsia" w:ascii="Times New Roman" w:hAnsi="Times New Roman"/>
          <w:sz w:val="24"/>
        </w:rPr>
        <w:t>规范性</w:t>
      </w:r>
      <w:r>
        <w:rPr>
          <w:rFonts w:ascii="Times New Roman" w:hAnsi="Times New Roman"/>
          <w:sz w:val="24"/>
        </w:rPr>
        <w:t>（10 分）</w:t>
      </w:r>
      <w:r>
        <w:rPr>
          <w:rFonts w:hint="eastAsia" w:ascii="Times New Roman" w:hAnsi="Times New Roman"/>
          <w:sz w:val="24"/>
        </w:rPr>
        <w:t>：报告的格式，图、表、有效位数、物理量名称、单位等统一规范；视频中实验操作和安全防护的规范性。</w:t>
      </w:r>
    </w:p>
    <w:p>
      <w:pPr>
        <w:spacing w:line="360" w:lineRule="auto"/>
        <w:rPr>
          <w:rFonts w:ascii="Times New Roman" w:hAnsi="Times New Roman"/>
          <w:sz w:val="24"/>
        </w:rPr>
      </w:pPr>
      <w:r>
        <w:rPr>
          <w:rFonts w:ascii="Times New Roman" w:hAnsi="Times New Roman"/>
          <w:sz w:val="24"/>
        </w:rPr>
        <w:t>（3）</w:t>
      </w:r>
      <w:r>
        <w:rPr>
          <w:rFonts w:hint="eastAsia" w:ascii="Times New Roman" w:hAnsi="Times New Roman"/>
          <w:sz w:val="24"/>
        </w:rPr>
        <w:t>可行性</w:t>
      </w:r>
      <w:r>
        <w:rPr>
          <w:rFonts w:ascii="Times New Roman" w:hAnsi="Times New Roman"/>
          <w:sz w:val="24"/>
        </w:rPr>
        <w:t>（10 分）</w:t>
      </w:r>
      <w:r>
        <w:rPr>
          <w:rFonts w:hint="eastAsia" w:ascii="Times New Roman" w:hAnsi="Times New Roman"/>
          <w:sz w:val="24"/>
        </w:rPr>
        <w:t>：符合教学（教育）目的、实验用时合适、所需实验教学条件和实验成本具有普适性或对一定数量学校能够承受、符合安全要求。</w:t>
      </w:r>
    </w:p>
    <w:p>
      <w:pPr>
        <w:spacing w:line="360" w:lineRule="auto"/>
        <w:rPr>
          <w:rFonts w:ascii="Times New Roman" w:hAnsi="Times New Roman"/>
          <w:sz w:val="24"/>
        </w:rPr>
      </w:pPr>
      <w:r>
        <w:rPr>
          <w:rFonts w:ascii="Times New Roman" w:hAnsi="Times New Roman"/>
          <w:sz w:val="24"/>
        </w:rPr>
        <w:t>（4）</w:t>
      </w:r>
      <w:r>
        <w:rPr>
          <w:rFonts w:hint="eastAsia" w:ascii="Times New Roman" w:hAnsi="Times New Roman"/>
          <w:sz w:val="24"/>
        </w:rPr>
        <w:t>完整性</w:t>
      </w:r>
      <w:r>
        <w:rPr>
          <w:rFonts w:ascii="Times New Roman" w:hAnsi="Times New Roman"/>
          <w:sz w:val="24"/>
        </w:rPr>
        <w:t>（10 分）</w:t>
      </w:r>
      <w:r>
        <w:rPr>
          <w:rFonts w:hint="eastAsia" w:ascii="Times New Roman" w:hAnsi="Times New Roman"/>
          <w:sz w:val="24"/>
        </w:rPr>
        <w:t>：作品内容所需的实验装置、合成步骤和反应现象、分析检测过程等齐全，论点具有充分的论据支持；结论客观、科学。</w:t>
      </w:r>
    </w:p>
    <w:bookmarkEnd w:id="0"/>
    <w:p>
      <w:pPr>
        <w:spacing w:line="360" w:lineRule="auto"/>
        <w:rPr>
          <w:rFonts w:ascii="Times New Roman" w:hAnsi="Times New Roman"/>
          <w:sz w:val="24"/>
        </w:rPr>
      </w:pPr>
      <w:r>
        <w:rPr>
          <w:rFonts w:ascii="Times New Roman" w:hAnsi="Times New Roman"/>
          <w:sz w:val="24"/>
        </w:rPr>
        <w:t>1.2</w:t>
      </w:r>
      <w:r>
        <w:rPr>
          <w:rFonts w:hint="eastAsia" w:ascii="Times New Roman" w:hAnsi="Times New Roman"/>
          <w:sz w:val="24"/>
        </w:rPr>
        <w:t>科普类实验作品内容</w:t>
      </w:r>
    </w:p>
    <w:p>
      <w:pPr>
        <w:spacing w:line="360" w:lineRule="auto"/>
        <w:rPr>
          <w:rFonts w:hint="eastAsia" w:ascii="Times New Roman" w:hAnsi="Times New Roman"/>
          <w:sz w:val="24"/>
        </w:rPr>
      </w:pPr>
      <w:r>
        <w:rPr>
          <w:rFonts w:hint="eastAsia" w:ascii="Times New Roman" w:hAnsi="Times New Roman"/>
          <w:sz w:val="24"/>
        </w:rPr>
        <w:t>（1）创新性（20 分）： 作品有内涵，设计巧妙，与社会发展、百姓生活密切联系，趣味性强，给人印象深刻，表现化学之美。</w:t>
      </w:r>
    </w:p>
    <w:p>
      <w:pPr>
        <w:spacing w:line="360" w:lineRule="auto"/>
        <w:rPr>
          <w:rFonts w:hint="eastAsia" w:ascii="Times New Roman" w:hAnsi="Times New Roman"/>
          <w:sz w:val="24"/>
        </w:rPr>
      </w:pPr>
      <w:r>
        <w:rPr>
          <w:rFonts w:hint="eastAsia" w:ascii="Times New Roman" w:hAnsi="Times New Roman"/>
          <w:sz w:val="24"/>
        </w:rPr>
        <w:t>（2）规范性（10 分）： 报告的格式，图、表、有效位数、物理量名称、单位等统一规范；视频中实验操作和安全防护的规范性。</w:t>
      </w:r>
    </w:p>
    <w:p>
      <w:pPr>
        <w:spacing w:line="360" w:lineRule="auto"/>
        <w:rPr>
          <w:rFonts w:hint="eastAsia" w:ascii="Times New Roman" w:hAnsi="Times New Roman"/>
          <w:sz w:val="24"/>
        </w:rPr>
      </w:pPr>
      <w:r>
        <w:rPr>
          <w:rFonts w:hint="eastAsia" w:ascii="Times New Roman" w:hAnsi="Times New Roman"/>
          <w:sz w:val="24"/>
        </w:rPr>
        <w:t xml:space="preserve">（3）可行性（10 分）：安全环保，成本适当，操作步骤相对简单，硬件要求低。 </w:t>
      </w:r>
    </w:p>
    <w:p>
      <w:pPr>
        <w:spacing w:line="360" w:lineRule="auto"/>
        <w:rPr>
          <w:rFonts w:hint="eastAsia" w:ascii="Times New Roman" w:hAnsi="Times New Roman"/>
          <w:sz w:val="24"/>
        </w:rPr>
      </w:pPr>
      <w:r>
        <w:rPr>
          <w:rFonts w:hint="eastAsia" w:ascii="Times New Roman" w:hAnsi="Times New Roman"/>
          <w:sz w:val="24"/>
        </w:rPr>
        <w:t>（4）完整性（10 分）： 作品内容所需的实验装置、合成步骤和反应现象、分析检测过程等齐全，论点具有充分的论据支持；结论客观、科学。</w:t>
      </w:r>
    </w:p>
    <w:p>
      <w:pPr>
        <w:spacing w:line="360" w:lineRule="auto"/>
        <w:rPr>
          <w:rFonts w:ascii="Times New Roman" w:hAnsi="Times New Roman"/>
          <w:sz w:val="24"/>
        </w:rPr>
      </w:pPr>
      <w:r>
        <w:rPr>
          <w:rFonts w:ascii="Times New Roman" w:hAnsi="Times New Roman"/>
          <w:b/>
          <w:bCs/>
          <w:sz w:val="24"/>
        </w:rPr>
        <w:t xml:space="preserve">2．汇报答辩（50 分） </w:t>
      </w:r>
    </w:p>
    <w:p>
      <w:pPr>
        <w:spacing w:line="360" w:lineRule="auto"/>
        <w:rPr>
          <w:rFonts w:ascii="Times New Roman" w:hAnsi="Times New Roman"/>
          <w:sz w:val="24"/>
        </w:rPr>
      </w:pPr>
      <w:r>
        <w:rPr>
          <w:rFonts w:ascii="Times New Roman" w:hAnsi="Times New Roman"/>
          <w:sz w:val="24"/>
        </w:rPr>
        <w:t>（1）</w:t>
      </w:r>
      <w:r>
        <w:rPr>
          <w:rFonts w:hint="eastAsia" w:ascii="Times New Roman" w:hAnsi="Times New Roman"/>
          <w:sz w:val="24"/>
        </w:rPr>
        <w:t>PPT制作</w:t>
      </w:r>
      <w:r>
        <w:rPr>
          <w:rFonts w:ascii="Times New Roman" w:hAnsi="Times New Roman"/>
          <w:sz w:val="24"/>
        </w:rPr>
        <w:t>（5 分）</w:t>
      </w:r>
      <w:r>
        <w:rPr>
          <w:rFonts w:hint="eastAsia" w:ascii="Times New Roman" w:hAnsi="Times New Roman"/>
          <w:sz w:val="24"/>
        </w:rPr>
        <w:t>：</w:t>
      </w:r>
      <w:r>
        <w:rPr>
          <w:rFonts w:ascii="Times New Roman" w:hAnsi="Times New Roman"/>
          <w:sz w:val="24"/>
        </w:rPr>
        <w:t>逻辑性与美观</w:t>
      </w:r>
      <w:r>
        <w:rPr>
          <w:rFonts w:hint="eastAsia" w:ascii="Times New Roman" w:hAnsi="Times New Roman"/>
          <w:sz w:val="24"/>
        </w:rPr>
        <w:t>度。文字编排、内容组织、动画设计等突出重点，版面简洁且表述清楚。</w:t>
      </w:r>
    </w:p>
    <w:p>
      <w:pPr>
        <w:spacing w:line="360" w:lineRule="auto"/>
        <w:rPr>
          <w:rFonts w:ascii="Times New Roman" w:hAnsi="Times New Roman"/>
          <w:sz w:val="24"/>
        </w:rPr>
      </w:pPr>
      <w:r>
        <w:rPr>
          <w:rFonts w:ascii="Times New Roman" w:hAnsi="Times New Roman"/>
          <w:sz w:val="24"/>
        </w:rPr>
        <w:t>（2）</w:t>
      </w:r>
      <w:r>
        <w:rPr>
          <w:rFonts w:hint="eastAsia" w:ascii="Times New Roman" w:hAnsi="Times New Roman"/>
          <w:sz w:val="24"/>
        </w:rPr>
        <w:t>作品表述（2</w:t>
      </w:r>
      <w:r>
        <w:rPr>
          <w:rFonts w:ascii="Times New Roman" w:hAnsi="Times New Roman"/>
          <w:sz w:val="24"/>
        </w:rPr>
        <w:t>5</w:t>
      </w:r>
      <w:r>
        <w:rPr>
          <w:rFonts w:hint="eastAsia" w:ascii="Times New Roman" w:hAnsi="Times New Roman"/>
          <w:sz w:val="24"/>
        </w:rPr>
        <w:t>分）：</w:t>
      </w:r>
      <w:r>
        <w:rPr>
          <w:rFonts w:ascii="Times New Roman" w:hAnsi="Times New Roman"/>
          <w:sz w:val="24"/>
        </w:rPr>
        <w:t>汇报思路与逻辑</w:t>
      </w:r>
      <w:r>
        <w:rPr>
          <w:rFonts w:hint="eastAsia" w:ascii="Times New Roman" w:hAnsi="Times New Roman"/>
          <w:sz w:val="24"/>
        </w:rPr>
        <w:t>清晰，作品的设计思路和原理教学目的明确，创新性突出，语言表达规范、逻辑性强、条理清楚。</w:t>
      </w:r>
    </w:p>
    <w:p>
      <w:pPr>
        <w:spacing w:line="360" w:lineRule="auto"/>
        <w:rPr>
          <w:rFonts w:hint="eastAsia" w:ascii="Times New Roman" w:hAnsi="Times New Roman"/>
          <w:sz w:val="24"/>
        </w:rPr>
      </w:pPr>
      <w:r>
        <w:rPr>
          <w:rFonts w:ascii="Times New Roman" w:hAnsi="Times New Roman"/>
          <w:sz w:val="24"/>
        </w:rPr>
        <w:t>（3）</w:t>
      </w:r>
      <w:r>
        <w:rPr>
          <w:rFonts w:hint="eastAsia" w:ascii="Times New Roman" w:hAnsi="Times New Roman"/>
          <w:sz w:val="24"/>
        </w:rPr>
        <w:t>答辩环节（</w:t>
      </w:r>
      <w:r>
        <w:rPr>
          <w:rFonts w:ascii="Times New Roman" w:hAnsi="Times New Roman"/>
          <w:sz w:val="24"/>
        </w:rPr>
        <w:t>15</w:t>
      </w:r>
      <w:r>
        <w:rPr>
          <w:rFonts w:hint="eastAsia" w:ascii="Times New Roman" w:hAnsi="Times New Roman"/>
          <w:sz w:val="24"/>
        </w:rPr>
        <w:t>分）：</w:t>
      </w:r>
      <w:r>
        <w:rPr>
          <w:rFonts w:ascii="Times New Roman" w:hAnsi="Times New Roman"/>
          <w:sz w:val="24"/>
        </w:rPr>
        <w:t>回答问题准确性</w:t>
      </w:r>
      <w:r>
        <w:rPr>
          <w:rFonts w:hint="eastAsia" w:ascii="Times New Roman" w:hAnsi="Times New Roman"/>
          <w:sz w:val="24"/>
        </w:rPr>
        <w:t>高，表述简练、流畅、反应敏捷、基础扎实、知识面宽广。</w:t>
      </w:r>
    </w:p>
    <w:p>
      <w:pPr>
        <w:spacing w:line="360" w:lineRule="auto"/>
        <w:rPr>
          <w:rFonts w:hint="eastAsia" w:eastAsia="宋体"/>
          <w:lang w:val="en-US" w:eastAsia="zh-CN"/>
        </w:rPr>
      </w:pPr>
      <w:r>
        <w:rPr>
          <w:rFonts w:ascii="Times New Roman" w:hAnsi="Times New Roman"/>
          <w:sz w:val="24"/>
        </w:rPr>
        <w:t>（4）</w:t>
      </w:r>
      <w:r>
        <w:rPr>
          <w:rFonts w:hint="eastAsia" w:ascii="Times New Roman" w:hAnsi="Times New Roman"/>
          <w:sz w:val="24"/>
        </w:rPr>
        <w:t>团队合作</w:t>
      </w:r>
      <w:r>
        <w:rPr>
          <w:rFonts w:ascii="Times New Roman" w:hAnsi="Times New Roman"/>
          <w:sz w:val="24"/>
        </w:rPr>
        <w:t>（5 分）</w:t>
      </w:r>
      <w:r>
        <w:rPr>
          <w:rFonts w:hint="eastAsia" w:ascii="Times New Roman" w:hAnsi="Times New Roman"/>
          <w:sz w:val="24"/>
        </w:rPr>
        <w:t>：成员</w:t>
      </w:r>
      <w:r>
        <w:rPr>
          <w:rFonts w:ascii="Times New Roman" w:hAnsi="Times New Roman"/>
          <w:sz w:val="24"/>
        </w:rPr>
        <w:t>互相协作、分工得当</w:t>
      </w:r>
      <w:r>
        <w:rPr>
          <w:rFonts w:hint="eastAsia" w:ascii="Times New Roman" w:hAnsi="Times New Roman"/>
          <w:sz w:val="24"/>
        </w:rPr>
        <w:t>。</w:t>
      </w:r>
      <w:bookmarkStart w:id="1" w:name="_GoBack"/>
      <w:bookmarkEnd w:id="1"/>
    </w:p>
    <w:p>
      <w:pPr>
        <w:spacing w:line="360" w:lineRule="auto"/>
        <w:rPr>
          <w:rFonts w:hint="eastAsia"/>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ZDU2YzFmOWQ3MGYwZGU1ODYxYjZlZGI4YTIyNDAifQ=="/>
  </w:docVars>
  <w:rsids>
    <w:rsidRoot w:val="00000000"/>
    <w:rsid w:val="2AF35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2023-10-23T04:02:25Z</dcterms:created>
  <dc:creator>lenovo</dc:creator>
  <cp:lastModifiedBy>龚京琳</cp:lastModifiedBy>
  <dcterms:modified xsi:type="dcterms:W3CDTF">2023-10-23T04:02:40Z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C4070A4CFC984329ACD4C816ED288FE1_12</vt:lpwstr>
  </property>
</Properties>
</file>