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napToGrid w:val="0"/>
        <w:spacing w:line="300" w:lineRule="auto"/>
        <w:jc w:val="center"/>
        <w:rPr>
          <w:rFonts w:hint="eastAsia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第十四届全国大学生广告艺术大赛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南昌大学校赛</w:t>
      </w:r>
    </w:p>
    <w:p>
      <w:pPr>
        <w:widowControl/>
        <w:tabs>
          <w:tab w:val="left" w:pos="720"/>
        </w:tabs>
        <w:snapToGrid w:val="0"/>
        <w:spacing w:line="300" w:lineRule="auto"/>
        <w:jc w:val="center"/>
        <w:rPr>
          <w:rFonts w:hint="default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竞赛</w:t>
      </w:r>
      <w:r>
        <w:rPr>
          <w:rFonts w:hint="eastAsia" w:ascii="宋体" w:hAnsi="宋体" w:eastAsia="宋体" w:cs="Times New Roman"/>
          <w:b/>
          <w:sz w:val="36"/>
          <w:szCs w:val="36"/>
        </w:rPr>
        <w:t>评审标准及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评分规制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基本标准：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1.原创性：2.切题性；3.实效性：4.感染力；5.遵守国家法律、法规的规定，尊重民族文化和传统习俗。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不同类别作品需要具体考虑的标准：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1.平面广告类：需考虑广告创意、广告语与平面制作手段的完美结合。如有超出平面设计范畴、明显抄袭的作品，不应入选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2.影像类：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影视广告作品，需考虑广告创意、广告语、导演、表演、摄像、灯光、后期制作、剪辑、镜头组合节奏、配音等的完美结合，并考虑适播性。如有比例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较大</w:t>
      </w:r>
      <w:r>
        <w:rPr>
          <w:rFonts w:hint="eastAsia" w:ascii="仿宋_GB2312" w:hAnsi="仿宋_GB2312" w:eastAsia="仿宋_GB2312" w:cs="仿宋_GB2312"/>
          <w:sz w:val="32"/>
          <w:szCs w:val="32"/>
        </w:rPr>
        <w:t>的他人视频作品（非原创）剪辑进入作品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不应入选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微电影作品，需考虑网络传播可行性，作品以原创为主，同时也允许使用电影或电视剧桥段拼接、剪辑或配音，作品必须具有完整的情节，对命题品牌的诠释采用植入式而非直白叫卖式。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3.设计类作品，需考虑兼具艺术性与实用性的特点，要求必须附设计说明，设计说明部分的文字格式必须符合参赛要求，与要求差距过大者，不应入选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4.策划/文案类：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策划类作品，需考虑营销策略的针对性、原创性、实效性，并注意其市场调查是否合理规范，其广告创意设计、媒介策略的合理性等因素。如有过度包装、页数超过规定、较大比例字体、字号不符合规定者，不应入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文案类作品，需考虑命题企业策略单的具体要求。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5.移动交互类，需考虑作品在网络传播中的可行性与作品的趣味性，不应存在低俗、色情、暴力的负面内容。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6.其他类别，以各命题策略单要求为准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7.所有类别作品中，如果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出现参赛学生及指导教师的院校、系、姓名，以及其他特殊标记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不应入选。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省赛推荐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数量规则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以省赛分配给予的数量进行裁定。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竞赛评分细则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创意表现与原创性40%；切合命题策略40%；广告实效和可执行性20%。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校赛等级奖项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根据参赛作品数量，甄选一定百分比例的一、二、三等奖。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WYyODk3OGY3OWVhM2VlNzJkNzBmNzMxZGRiZWIifQ=="/>
  </w:docVars>
  <w:rsids>
    <w:rsidRoot w:val="00000000"/>
    <w:rsid w:val="0C837E63"/>
    <w:rsid w:val="232B3A37"/>
    <w:rsid w:val="4E400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768</Characters>
  <Lines>0</Lines>
  <Paragraphs>0</Paragraphs>
  <TotalTime>1</TotalTime>
  <ScaleCrop>false</ScaleCrop>
  <LinksUpToDate>false</LinksUpToDate>
  <CharactersWithSpaces>804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2022-05-24T21:42:00Z</dcterms:created>
  <dc:creator>彭可的iPad</dc:creator>
  <cp:lastModifiedBy>列子汤</cp:lastModifiedBy>
  <dcterms:modified xsi:type="dcterms:W3CDTF">2022-05-25T02:08:44Z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F7FBCD11D6DC953BB1E08C627B5C5794</vt:lpwstr>
  </property>
</Properties>
</file>