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6B" w:rsidRDefault="007847C5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8"/>
          <w:szCs w:val="48"/>
        </w:rPr>
      </w:pPr>
      <w:r>
        <w:rPr>
          <w:rFonts w:ascii="宋体" w:eastAsia="宋体" w:cs="宋体" w:hint="eastAsia"/>
          <w:kern w:val="0"/>
          <w:sz w:val="48"/>
          <w:szCs w:val="48"/>
        </w:rPr>
        <w:t>关于举办南昌大学第十届大学生化学实</w:t>
      </w:r>
    </w:p>
    <w:p w:rsidR="00320B6B" w:rsidRDefault="007847C5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8"/>
          <w:szCs w:val="48"/>
        </w:rPr>
      </w:pPr>
      <w:r>
        <w:rPr>
          <w:rFonts w:ascii="宋体" w:eastAsia="宋体" w:cs="宋体" w:hint="eastAsia"/>
          <w:kern w:val="0"/>
          <w:sz w:val="48"/>
          <w:szCs w:val="48"/>
        </w:rPr>
        <w:t>验竞赛的通知</w:t>
      </w: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7847C5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各学院（系）</w:t>
      </w:r>
      <w:r>
        <w:rPr>
          <w:rFonts w:asciiTheme="minorEastAsia" w:hAnsiTheme="minorEastAsia" w:cs="TimesNewRomanPSMT"/>
          <w:kern w:val="0"/>
          <w:sz w:val="30"/>
          <w:szCs w:val="30"/>
        </w:rPr>
        <w:t>: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为进一步培养学生的创新意识、创新能力和创新精神，培养大学生发现问题、提出问题、分析问题、解决问题和阐释结果的综合训练能力，建立一个反映大学生实践创新能力的平台，教育部高等化学类专业教学指导委员会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拟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于2019年8月主办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首届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全国大学生化学实验设计大赛。为我校参与本届大赛选拔优秀人员，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并培养我校学生的综合创新能力，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经研究决定，特举办南昌大学第十届大学生化学实验竞赛。现将有关事项通知如下：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一、举办单位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主办：南昌大学教务处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承办：南昌大学化学学院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二、参赛对象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color w:val="FF0000"/>
          <w:kern w:val="0"/>
          <w:sz w:val="30"/>
          <w:szCs w:val="30"/>
        </w:rPr>
      </w:pPr>
      <w:r w:rsidRPr="00167867">
        <w:rPr>
          <w:rFonts w:asciiTheme="minorEastAsia" w:hAnsiTheme="minorEastAsia" w:cs="仿宋" w:hint="eastAsia"/>
          <w:kern w:val="0"/>
          <w:sz w:val="30"/>
          <w:szCs w:val="30"/>
        </w:rPr>
        <w:t>南昌大学在校全日制在校本科生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。本竞赛参赛者可为个人或团体，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团体参赛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最多三人组队。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三、竞赛内容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本次竞赛主题为“化学实验设计”，内容分为以下两类：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（1）新创实验：新知识、新理论、新技术等科研成果适合转化为</w:t>
      </w:r>
      <w:r>
        <w:rPr>
          <w:rFonts w:asciiTheme="minorEastAsia" w:hAnsiTheme="minorEastAsia" w:cs="仿宋" w:hint="eastAsia"/>
          <w:b/>
          <w:kern w:val="0"/>
          <w:sz w:val="30"/>
          <w:szCs w:val="30"/>
        </w:rPr>
        <w:t>教学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的实验（无机、有机、分析、物化实验及综合类均可）。要求是</w:t>
      </w:r>
      <w:r>
        <w:rPr>
          <w:rFonts w:asciiTheme="minorEastAsia" w:hAnsiTheme="minorEastAsia" w:cs="仿宋" w:hint="eastAsia"/>
          <w:b/>
          <w:kern w:val="0"/>
          <w:sz w:val="30"/>
          <w:szCs w:val="30"/>
        </w:rPr>
        <w:t>未见各类教材、讲义的新实验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。如实验中含探究性实验内</w:t>
      </w:r>
      <w:r>
        <w:rPr>
          <w:rFonts w:asciiTheme="minorEastAsia" w:hAnsiTheme="minorEastAsia" w:cs="仿宋" w:hint="eastAsia"/>
          <w:kern w:val="0"/>
          <w:sz w:val="30"/>
          <w:szCs w:val="30"/>
        </w:rPr>
        <w:lastRenderedPageBreak/>
        <w:t>容，则探究性实验内容不超过整个实验内容的30%。</w:t>
      </w:r>
    </w:p>
    <w:p w:rsidR="00320B6B" w:rsidRDefault="007847C5">
      <w:pPr>
        <w:autoSpaceDE w:val="0"/>
        <w:autoSpaceDN w:val="0"/>
        <w:adjustRightInd w:val="0"/>
        <w:ind w:firstLineChars="150" w:firstLine="45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（2）科普实验：以生活中的化学体验为主，要求学生能以生活中能够体现化学及其相关知识的现象为原型，在实验室完成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的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实验。</w:t>
      </w:r>
    </w:p>
    <w:p w:rsidR="00320B6B" w:rsidRDefault="007847C5" w:rsidP="00167867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四、竞赛安排</w:t>
      </w:r>
    </w:p>
    <w:p w:rsidR="00320B6B" w:rsidRDefault="007847C5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1、初赛：请参赛同学依据上述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竞赛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要求及后附的评分标准设计一个有创新性、可操作性的实验项目。按照规定格式提交实验报告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，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截止日期2019年3月25日。</w:t>
      </w:r>
    </w:p>
    <w:p w:rsidR="00320B6B" w:rsidRPr="001D1AF3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 w:rsidRPr="001D1AF3">
        <w:rPr>
          <w:rFonts w:asciiTheme="minorEastAsia" w:hAnsiTheme="minorEastAsia" w:cs="仿宋" w:hint="eastAsia"/>
          <w:kern w:val="0"/>
          <w:sz w:val="30"/>
          <w:szCs w:val="30"/>
        </w:rPr>
        <w:t>提交方式：所有参赛</w:t>
      </w:r>
      <w:r w:rsidR="00167867" w:rsidRPr="001D1AF3">
        <w:rPr>
          <w:rFonts w:asciiTheme="minorEastAsia" w:hAnsiTheme="minorEastAsia" w:cs="仿宋" w:hint="eastAsia"/>
          <w:kern w:val="0"/>
          <w:sz w:val="30"/>
          <w:szCs w:val="30"/>
        </w:rPr>
        <w:t>队伍</w:t>
      </w:r>
      <w:r w:rsidRPr="001D1AF3">
        <w:rPr>
          <w:rFonts w:asciiTheme="minorEastAsia" w:hAnsiTheme="minorEastAsia" w:cs="仿宋" w:hint="eastAsia"/>
          <w:kern w:val="0"/>
          <w:sz w:val="30"/>
          <w:szCs w:val="30"/>
        </w:rPr>
        <w:t>均通过二维码进行线上报名（二维码见附件一），报名后加入</w:t>
      </w:r>
      <w:proofErr w:type="spellStart"/>
      <w:r w:rsidRPr="001D1AF3">
        <w:rPr>
          <w:rFonts w:asciiTheme="minorEastAsia" w:hAnsiTheme="minorEastAsia" w:cs="仿宋" w:hint="eastAsia"/>
          <w:kern w:val="0"/>
          <w:sz w:val="30"/>
          <w:szCs w:val="30"/>
        </w:rPr>
        <w:t>qq</w:t>
      </w:r>
      <w:proofErr w:type="spellEnd"/>
      <w:r w:rsidRPr="001D1AF3">
        <w:rPr>
          <w:rFonts w:asciiTheme="minorEastAsia" w:hAnsiTheme="minorEastAsia" w:cs="仿宋" w:hint="eastAsia"/>
          <w:kern w:val="0"/>
          <w:sz w:val="30"/>
          <w:szCs w:val="30"/>
        </w:rPr>
        <w:t>群：808839887，后续相关通知将在QQ群公告栏中公布，请各位参赛同学</w:t>
      </w:r>
      <w:r w:rsidR="00167867" w:rsidRPr="001D1AF3">
        <w:rPr>
          <w:rFonts w:asciiTheme="minorEastAsia" w:hAnsiTheme="minorEastAsia" w:cs="仿宋" w:hint="eastAsia"/>
          <w:kern w:val="0"/>
          <w:sz w:val="30"/>
          <w:szCs w:val="30"/>
        </w:rPr>
        <w:t>及时</w:t>
      </w:r>
      <w:r w:rsidRPr="001D1AF3">
        <w:rPr>
          <w:rFonts w:asciiTheme="minorEastAsia" w:hAnsiTheme="minorEastAsia" w:cs="仿宋" w:hint="eastAsia"/>
          <w:kern w:val="0"/>
          <w:sz w:val="30"/>
          <w:szCs w:val="30"/>
        </w:rPr>
        <w:t>关注QQ群群公告。竞赛委员会学生委员联系方式：</w:t>
      </w:r>
    </w:p>
    <w:p w:rsidR="00320B6B" w:rsidRPr="001D1AF3" w:rsidRDefault="007847C5" w:rsidP="00167867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 w:rsidRPr="001D1AF3">
        <w:rPr>
          <w:rFonts w:asciiTheme="minorEastAsia" w:hAnsiTheme="minorEastAsia" w:cs="仿宋" w:hint="eastAsia"/>
          <w:kern w:val="0"/>
          <w:sz w:val="30"/>
          <w:szCs w:val="30"/>
        </w:rPr>
        <w:t>胡笑雨13879122806 QQ：1753937526</w:t>
      </w:r>
    </w:p>
    <w:p w:rsidR="00320B6B" w:rsidRPr="001D1AF3" w:rsidRDefault="007847C5" w:rsidP="00167867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 w:rsidRPr="001D1AF3">
        <w:rPr>
          <w:rFonts w:asciiTheme="minorEastAsia" w:hAnsiTheme="minorEastAsia" w:cs="仿宋" w:hint="eastAsia"/>
          <w:kern w:val="0"/>
          <w:sz w:val="30"/>
          <w:szCs w:val="30"/>
        </w:rPr>
        <w:t>陈小娟15179191043 QQ：318102083</w:t>
      </w:r>
    </w:p>
    <w:p w:rsidR="00320B6B" w:rsidRPr="001D1AF3" w:rsidRDefault="007847C5" w:rsidP="00167867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 w:rsidRPr="001D1AF3">
        <w:rPr>
          <w:rFonts w:asciiTheme="minorEastAsia" w:hAnsiTheme="minorEastAsia" w:cs="仿宋" w:hint="eastAsia"/>
          <w:kern w:val="0"/>
          <w:sz w:val="30"/>
          <w:szCs w:val="30"/>
        </w:rPr>
        <w:t>张浩南18843619782 QQ：3196087008</w:t>
      </w:r>
    </w:p>
    <w:p w:rsidR="00320B6B" w:rsidRDefault="007847C5" w:rsidP="00167867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2、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评审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：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由专家对初赛作品进行盲评排序，按照获奖比例通知拟获奖的队伍在4月13日前提交实验可行性的佐证材料（实验视频、文献、实验数据、PPT等）。不递交实验可行性的佐证材料的自动放弃获奖资格。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由专家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在其中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遴选16组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队伍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参加决赛。</w:t>
      </w:r>
    </w:p>
    <w:p w:rsidR="00320B6B" w:rsidRDefault="007847C5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3、决赛：决赛拟于4月20日以现场答辩的方式进行，参赛同学根据自己的参赛作品准备好</w:t>
      </w:r>
      <w:r>
        <w:rPr>
          <w:rFonts w:asciiTheme="minorEastAsia" w:hAnsiTheme="minorEastAsia" w:cs="仿宋"/>
          <w:kern w:val="0"/>
          <w:sz w:val="30"/>
          <w:szCs w:val="30"/>
        </w:rPr>
        <w:t>10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分钟的口头报告</w:t>
      </w:r>
      <w:r>
        <w:rPr>
          <w:rFonts w:asciiTheme="minorEastAsia" w:hAnsiTheme="minorEastAsia" w:cs="仿宋"/>
          <w:kern w:val="0"/>
          <w:sz w:val="30"/>
          <w:szCs w:val="30"/>
        </w:rPr>
        <w:t xml:space="preserve">PPT 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和创新实验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可行性的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相关资料。</w:t>
      </w:r>
    </w:p>
    <w:p w:rsidR="00320B6B" w:rsidRDefault="007847C5" w:rsidP="00167867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lastRenderedPageBreak/>
        <w:t>五、奖励办法</w:t>
      </w:r>
    </w:p>
    <w:p w:rsidR="00320B6B" w:rsidRDefault="007847C5">
      <w:pPr>
        <w:autoSpaceDE w:val="0"/>
        <w:autoSpaceDN w:val="0"/>
        <w:adjustRightInd w:val="0"/>
        <w:ind w:firstLineChars="150" w:firstLine="45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本竞赛为校级竞赛，设立一等奖6组，二等奖10组，三等奖若干组（占报名总人数的30%），由学校颁发证书。一等奖获得者</w:t>
      </w:r>
      <w:r w:rsidR="00167867">
        <w:rPr>
          <w:rFonts w:asciiTheme="minorEastAsia" w:hAnsiTheme="minorEastAsia" w:cs="仿宋" w:hint="eastAsia"/>
          <w:kern w:val="0"/>
          <w:sz w:val="30"/>
          <w:szCs w:val="30"/>
        </w:rPr>
        <w:t>推荐</w:t>
      </w:r>
      <w:r>
        <w:rPr>
          <w:rFonts w:asciiTheme="minorEastAsia" w:hAnsiTheme="minorEastAsia" w:cs="仿宋" w:hint="eastAsia"/>
          <w:kern w:val="0"/>
          <w:sz w:val="30"/>
          <w:szCs w:val="30"/>
        </w:rPr>
        <w:t>参加全国大学生化学实验设计大赛华东赛区选拔赛培训营。</w:t>
      </w:r>
    </w:p>
    <w:p w:rsidR="00320B6B" w:rsidRDefault="00320B6B">
      <w:pPr>
        <w:autoSpaceDE w:val="0"/>
        <w:autoSpaceDN w:val="0"/>
        <w:adjustRightInd w:val="0"/>
        <w:ind w:firstLineChars="150" w:firstLine="45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7847C5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 xml:space="preserve"> 附件：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附件1：南昌大学第十届大学生化学实验竞赛报名二维码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附件2：南昌大学第十届大学生化学实验竞赛初赛评分标准</w:t>
      </w:r>
    </w:p>
    <w:p w:rsidR="00320B6B" w:rsidRDefault="007847C5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附件3：南昌大学第十届大学生化学实验竞赛初赛实验报告标准格式</w:t>
      </w:r>
    </w:p>
    <w:p w:rsidR="00320B6B" w:rsidRDefault="00320B6B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  <w:bookmarkStart w:id="0" w:name="_GoBack"/>
      <w:bookmarkEnd w:id="0"/>
    </w:p>
    <w:p w:rsidR="00320B6B" w:rsidRDefault="007847C5">
      <w:pPr>
        <w:autoSpaceDE w:val="0"/>
        <w:autoSpaceDN w:val="0"/>
        <w:adjustRightInd w:val="0"/>
        <w:ind w:right="750" w:firstLineChars="200" w:firstLine="600"/>
        <w:jc w:val="righ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南昌大学教务处</w:t>
      </w:r>
    </w:p>
    <w:p w:rsidR="00320B6B" w:rsidRDefault="007847C5">
      <w:pPr>
        <w:autoSpaceDE w:val="0"/>
        <w:autoSpaceDN w:val="0"/>
        <w:adjustRightInd w:val="0"/>
        <w:ind w:right="600" w:firstLineChars="150" w:firstLine="450"/>
        <w:jc w:val="righ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南昌大学化学学院</w:t>
      </w:r>
    </w:p>
    <w:p w:rsidR="00320B6B" w:rsidRDefault="007847C5">
      <w:pPr>
        <w:autoSpaceDE w:val="0"/>
        <w:autoSpaceDN w:val="0"/>
        <w:adjustRightInd w:val="0"/>
        <w:ind w:right="450" w:firstLineChars="150" w:firstLine="450"/>
        <w:jc w:val="righ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2019 年 2 月 25 日</w:t>
      </w:r>
    </w:p>
    <w:p w:rsidR="00320B6B" w:rsidRDefault="00320B6B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7847C5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附件1：</w:t>
      </w:r>
    </w:p>
    <w:p w:rsidR="00320B6B" w:rsidRDefault="007847C5">
      <w:pPr>
        <w:autoSpaceDE w:val="0"/>
        <w:autoSpaceDN w:val="0"/>
        <w:adjustRightInd w:val="0"/>
        <w:jc w:val="center"/>
        <w:rPr>
          <w:rFonts w:asciiTheme="minorEastAsia" w:hAnsiTheme="minorEastAsia" w:cs="仿宋"/>
          <w:b/>
          <w:bCs/>
          <w:kern w:val="0"/>
          <w:sz w:val="36"/>
          <w:szCs w:val="36"/>
        </w:rPr>
      </w:pPr>
      <w:r>
        <w:rPr>
          <w:rFonts w:asciiTheme="minorEastAsia" w:hAnsiTheme="minorEastAsia" w:cs="仿宋" w:hint="eastAsia"/>
          <w:b/>
          <w:bCs/>
          <w:kern w:val="0"/>
          <w:sz w:val="36"/>
          <w:szCs w:val="36"/>
        </w:rPr>
        <w:t>南昌大学第十届大学生化学实验竞赛报名二维码</w:t>
      </w:r>
    </w:p>
    <w:p w:rsidR="00320B6B" w:rsidRDefault="007847C5">
      <w:pPr>
        <w:autoSpaceDE w:val="0"/>
        <w:autoSpaceDN w:val="0"/>
        <w:adjustRightInd w:val="0"/>
        <w:jc w:val="center"/>
        <w:rPr>
          <w:rFonts w:asciiTheme="minorEastAsia" w:hAnsiTheme="minorEastAsia" w:cs="仿宋"/>
          <w:b/>
          <w:bCs/>
          <w:kern w:val="0"/>
          <w:sz w:val="30"/>
          <w:szCs w:val="30"/>
        </w:rPr>
      </w:pPr>
      <w:r>
        <w:rPr>
          <w:rFonts w:asciiTheme="minorEastAsia" w:hAnsiTheme="minorEastAsia" w:cs="仿宋" w:hint="eastAsia"/>
          <w:b/>
          <w:bCs/>
          <w:noProof/>
          <w:kern w:val="0"/>
          <w:sz w:val="30"/>
          <w:szCs w:val="30"/>
        </w:rPr>
        <w:drawing>
          <wp:inline distT="0" distB="0" distL="114300" distR="114300">
            <wp:extent cx="2438400" cy="2438400"/>
            <wp:effectExtent l="0" t="0" r="0" b="0"/>
            <wp:docPr id="1" name="图片 1" descr="南昌大学第十届大学生化学实验竞赛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昌大学第十届大学生化学实验竞赛报名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7847C5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附件2：</w:t>
      </w:r>
    </w:p>
    <w:p w:rsidR="00320B6B" w:rsidRDefault="007847C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南昌大学第十届大学生化学实验大赛初赛评分标准</w:t>
      </w:r>
    </w:p>
    <w:p w:rsidR="00320B6B" w:rsidRDefault="00320B6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5532"/>
        <w:gridCol w:w="921"/>
        <w:gridCol w:w="922"/>
      </w:tblGrid>
      <w:tr w:rsidR="00320B6B">
        <w:trPr>
          <w:trHeight w:val="834"/>
          <w:jc w:val="center"/>
        </w:trPr>
        <w:tc>
          <w:tcPr>
            <w:tcW w:w="1585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评分项目</w:t>
            </w:r>
          </w:p>
        </w:tc>
        <w:tc>
          <w:tcPr>
            <w:tcW w:w="5532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评分细则</w:t>
            </w:r>
          </w:p>
        </w:tc>
        <w:tc>
          <w:tcPr>
            <w:tcW w:w="921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分值</w:t>
            </w:r>
          </w:p>
        </w:tc>
        <w:tc>
          <w:tcPr>
            <w:tcW w:w="922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得分</w:t>
            </w:r>
          </w:p>
        </w:tc>
      </w:tr>
      <w:tr w:rsidR="00320B6B">
        <w:trPr>
          <w:trHeight w:val="1059"/>
          <w:jc w:val="center"/>
        </w:trPr>
        <w:tc>
          <w:tcPr>
            <w:tcW w:w="1585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实验目的性</w:t>
            </w:r>
          </w:p>
        </w:tc>
        <w:tc>
          <w:tcPr>
            <w:tcW w:w="5532" w:type="dxa"/>
            <w:vAlign w:val="center"/>
          </w:tcPr>
          <w:p w:rsidR="00320B6B" w:rsidRDefault="007847C5">
            <w:pPr>
              <w:spacing w:line="400" w:lineRule="exac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准确、简练地表述实验设计目的，具有一定的社会，科研或教学意义。</w:t>
            </w:r>
          </w:p>
        </w:tc>
        <w:tc>
          <w:tcPr>
            <w:tcW w:w="921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 w:rsidR="00320B6B" w:rsidRDefault="00320B6B">
            <w:pPr>
              <w:rPr>
                <w:b/>
                <w:sz w:val="26"/>
                <w:szCs w:val="28"/>
              </w:rPr>
            </w:pPr>
          </w:p>
        </w:tc>
      </w:tr>
      <w:tr w:rsidR="00320B6B">
        <w:trPr>
          <w:trHeight w:val="834"/>
          <w:jc w:val="center"/>
        </w:trPr>
        <w:tc>
          <w:tcPr>
            <w:tcW w:w="1585" w:type="dxa"/>
            <w:vMerge w:val="restart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实验科学性</w:t>
            </w:r>
          </w:p>
        </w:tc>
        <w:tc>
          <w:tcPr>
            <w:tcW w:w="5532" w:type="dxa"/>
            <w:vAlign w:val="center"/>
          </w:tcPr>
          <w:p w:rsidR="00320B6B" w:rsidRDefault="007847C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1.</w:t>
            </w:r>
            <w:r>
              <w:rPr>
                <w:rFonts w:hint="eastAsia"/>
                <w:b/>
                <w:sz w:val="26"/>
                <w:szCs w:val="28"/>
              </w:rPr>
              <w:t>实验原理简单，准确</w:t>
            </w:r>
          </w:p>
        </w:tc>
        <w:tc>
          <w:tcPr>
            <w:tcW w:w="921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 w:rsidR="00320B6B" w:rsidRDefault="00320B6B">
            <w:pPr>
              <w:rPr>
                <w:b/>
                <w:sz w:val="26"/>
                <w:szCs w:val="28"/>
              </w:rPr>
            </w:pPr>
          </w:p>
        </w:tc>
      </w:tr>
      <w:tr w:rsidR="00320B6B">
        <w:trPr>
          <w:trHeight w:val="1059"/>
          <w:jc w:val="center"/>
        </w:trPr>
        <w:tc>
          <w:tcPr>
            <w:tcW w:w="1585" w:type="dxa"/>
            <w:vMerge/>
            <w:vAlign w:val="center"/>
          </w:tcPr>
          <w:p w:rsidR="00320B6B" w:rsidRDefault="00320B6B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5532" w:type="dxa"/>
            <w:vAlign w:val="center"/>
          </w:tcPr>
          <w:p w:rsidR="00320B6B" w:rsidRDefault="007847C5">
            <w:pPr>
              <w:spacing w:line="400" w:lineRule="exact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2.</w:t>
            </w:r>
            <w:r>
              <w:rPr>
                <w:rFonts w:hint="eastAsia"/>
                <w:b/>
                <w:sz w:val="26"/>
                <w:szCs w:val="28"/>
              </w:rPr>
              <w:t>实验方法合理，图表相辅，实验数据翔实可靠</w:t>
            </w:r>
          </w:p>
        </w:tc>
        <w:tc>
          <w:tcPr>
            <w:tcW w:w="921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 w:rsidR="00320B6B" w:rsidRDefault="00320B6B">
            <w:pPr>
              <w:rPr>
                <w:b/>
                <w:sz w:val="26"/>
                <w:szCs w:val="28"/>
              </w:rPr>
            </w:pPr>
          </w:p>
        </w:tc>
      </w:tr>
      <w:tr w:rsidR="00320B6B">
        <w:trPr>
          <w:trHeight w:val="1573"/>
          <w:jc w:val="center"/>
        </w:trPr>
        <w:tc>
          <w:tcPr>
            <w:tcW w:w="1585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实验操作性</w:t>
            </w:r>
          </w:p>
        </w:tc>
        <w:tc>
          <w:tcPr>
            <w:tcW w:w="5532" w:type="dxa"/>
            <w:vAlign w:val="center"/>
          </w:tcPr>
          <w:p w:rsidR="00320B6B" w:rsidRDefault="007847C5">
            <w:pPr>
              <w:spacing w:line="400" w:lineRule="exac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实验可操作性强；</w:t>
            </w:r>
          </w:p>
          <w:p w:rsidR="00320B6B" w:rsidRDefault="007847C5">
            <w:pPr>
              <w:spacing w:line="400" w:lineRule="exac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所用仪器和试剂为实验室常规，或容易购买；</w:t>
            </w:r>
          </w:p>
          <w:p w:rsidR="00320B6B" w:rsidRDefault="007847C5">
            <w:pPr>
              <w:spacing w:line="400" w:lineRule="exac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实验操作耗时控制在</w:t>
            </w:r>
            <w:r>
              <w:rPr>
                <w:b/>
                <w:sz w:val="26"/>
                <w:szCs w:val="28"/>
              </w:rPr>
              <w:t>2-4</w:t>
            </w:r>
            <w:r>
              <w:rPr>
                <w:rFonts w:hint="eastAsia"/>
                <w:b/>
                <w:sz w:val="26"/>
                <w:szCs w:val="28"/>
              </w:rPr>
              <w:t>小时为最佳。</w:t>
            </w:r>
          </w:p>
        </w:tc>
        <w:tc>
          <w:tcPr>
            <w:tcW w:w="921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 w:rsidR="00320B6B" w:rsidRDefault="00320B6B">
            <w:pPr>
              <w:rPr>
                <w:b/>
                <w:sz w:val="26"/>
                <w:szCs w:val="28"/>
              </w:rPr>
            </w:pPr>
          </w:p>
        </w:tc>
      </w:tr>
      <w:tr w:rsidR="00320B6B">
        <w:trPr>
          <w:trHeight w:val="1573"/>
          <w:jc w:val="center"/>
        </w:trPr>
        <w:tc>
          <w:tcPr>
            <w:tcW w:w="1585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实验安全性</w:t>
            </w:r>
          </w:p>
        </w:tc>
        <w:tc>
          <w:tcPr>
            <w:tcW w:w="5532" w:type="dxa"/>
            <w:vAlign w:val="center"/>
          </w:tcPr>
          <w:p w:rsidR="00320B6B" w:rsidRDefault="007847C5">
            <w:pPr>
              <w:spacing w:line="400" w:lineRule="exac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实验方案符合环保标准；</w:t>
            </w:r>
          </w:p>
          <w:p w:rsidR="00320B6B" w:rsidRDefault="007847C5">
            <w:pPr>
              <w:spacing w:line="400" w:lineRule="exac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能指出实验可能出现的危险和出现危险时的应对措施，并具备相应的防范措施</w:t>
            </w:r>
          </w:p>
        </w:tc>
        <w:tc>
          <w:tcPr>
            <w:tcW w:w="921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922" w:type="dxa"/>
          </w:tcPr>
          <w:p w:rsidR="00320B6B" w:rsidRDefault="00320B6B">
            <w:pPr>
              <w:rPr>
                <w:b/>
                <w:sz w:val="26"/>
                <w:szCs w:val="28"/>
              </w:rPr>
            </w:pPr>
          </w:p>
        </w:tc>
      </w:tr>
      <w:tr w:rsidR="00320B6B">
        <w:trPr>
          <w:trHeight w:val="1059"/>
          <w:jc w:val="center"/>
        </w:trPr>
        <w:tc>
          <w:tcPr>
            <w:tcW w:w="1585" w:type="dxa"/>
            <w:vMerge w:val="restart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实验创新性</w:t>
            </w:r>
          </w:p>
        </w:tc>
        <w:tc>
          <w:tcPr>
            <w:tcW w:w="5532" w:type="dxa"/>
            <w:vAlign w:val="center"/>
          </w:tcPr>
          <w:p w:rsidR="00320B6B" w:rsidRDefault="007847C5">
            <w:pPr>
              <w:spacing w:line="400" w:lineRule="exac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  <w:r>
              <w:rPr>
                <w:rFonts w:hint="eastAsia"/>
                <w:b/>
                <w:sz w:val="26"/>
                <w:szCs w:val="28"/>
              </w:rPr>
              <w:t>、实验原理科学、可行，符合化学实验改革要求。</w:t>
            </w:r>
          </w:p>
        </w:tc>
        <w:tc>
          <w:tcPr>
            <w:tcW w:w="921" w:type="dxa"/>
            <w:vMerge w:val="restart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0</w:t>
            </w:r>
          </w:p>
        </w:tc>
        <w:tc>
          <w:tcPr>
            <w:tcW w:w="922" w:type="dxa"/>
            <w:vMerge w:val="restart"/>
          </w:tcPr>
          <w:p w:rsidR="00320B6B" w:rsidRDefault="00320B6B">
            <w:pPr>
              <w:rPr>
                <w:b/>
                <w:sz w:val="26"/>
                <w:szCs w:val="28"/>
              </w:rPr>
            </w:pPr>
          </w:p>
        </w:tc>
      </w:tr>
      <w:tr w:rsidR="00320B6B">
        <w:trPr>
          <w:trHeight w:val="1059"/>
          <w:jc w:val="center"/>
        </w:trPr>
        <w:tc>
          <w:tcPr>
            <w:tcW w:w="1585" w:type="dxa"/>
            <w:vMerge/>
            <w:vAlign w:val="center"/>
          </w:tcPr>
          <w:p w:rsidR="00320B6B" w:rsidRDefault="00320B6B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5532" w:type="dxa"/>
            <w:vAlign w:val="center"/>
          </w:tcPr>
          <w:p w:rsidR="00320B6B" w:rsidRDefault="007847C5">
            <w:pPr>
              <w:spacing w:line="400" w:lineRule="exac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  <w:r>
              <w:rPr>
                <w:rFonts w:hint="eastAsia"/>
                <w:b/>
                <w:sz w:val="26"/>
                <w:szCs w:val="28"/>
              </w:rPr>
              <w:t>、设计新颖、实用，充分修正原实验的不足之处，突出实验效果。</w:t>
            </w:r>
          </w:p>
        </w:tc>
        <w:tc>
          <w:tcPr>
            <w:tcW w:w="921" w:type="dxa"/>
            <w:vMerge/>
            <w:vAlign w:val="center"/>
          </w:tcPr>
          <w:p w:rsidR="00320B6B" w:rsidRDefault="00320B6B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922" w:type="dxa"/>
            <w:vMerge/>
          </w:tcPr>
          <w:p w:rsidR="00320B6B" w:rsidRDefault="00320B6B">
            <w:pPr>
              <w:rPr>
                <w:b/>
                <w:sz w:val="26"/>
                <w:szCs w:val="28"/>
              </w:rPr>
            </w:pPr>
          </w:p>
        </w:tc>
      </w:tr>
      <w:tr w:rsidR="00320B6B">
        <w:trPr>
          <w:trHeight w:val="547"/>
          <w:jc w:val="center"/>
        </w:trPr>
        <w:tc>
          <w:tcPr>
            <w:tcW w:w="1585" w:type="dxa"/>
            <w:vMerge/>
            <w:vAlign w:val="center"/>
          </w:tcPr>
          <w:p w:rsidR="00320B6B" w:rsidRDefault="00320B6B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5532" w:type="dxa"/>
            <w:vAlign w:val="center"/>
          </w:tcPr>
          <w:p w:rsidR="00320B6B" w:rsidRDefault="007847C5">
            <w:pPr>
              <w:spacing w:line="400" w:lineRule="exac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  <w:r>
              <w:rPr>
                <w:rFonts w:hint="eastAsia"/>
                <w:b/>
                <w:sz w:val="26"/>
                <w:szCs w:val="28"/>
              </w:rPr>
              <w:t>、实验装置较简单，操作方便。</w:t>
            </w:r>
          </w:p>
        </w:tc>
        <w:tc>
          <w:tcPr>
            <w:tcW w:w="921" w:type="dxa"/>
            <w:vMerge/>
            <w:vAlign w:val="center"/>
          </w:tcPr>
          <w:p w:rsidR="00320B6B" w:rsidRDefault="00320B6B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922" w:type="dxa"/>
            <w:vMerge/>
          </w:tcPr>
          <w:p w:rsidR="00320B6B" w:rsidRDefault="00320B6B">
            <w:pPr>
              <w:rPr>
                <w:b/>
                <w:sz w:val="26"/>
                <w:szCs w:val="28"/>
              </w:rPr>
            </w:pPr>
          </w:p>
        </w:tc>
      </w:tr>
      <w:tr w:rsidR="00320B6B">
        <w:trPr>
          <w:trHeight w:val="869"/>
          <w:jc w:val="center"/>
        </w:trPr>
        <w:tc>
          <w:tcPr>
            <w:tcW w:w="1585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实验推广性</w:t>
            </w:r>
          </w:p>
        </w:tc>
        <w:tc>
          <w:tcPr>
            <w:tcW w:w="5532" w:type="dxa"/>
            <w:vAlign w:val="center"/>
          </w:tcPr>
          <w:p w:rsidR="00320B6B" w:rsidRDefault="007847C5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实验设计易在高校化学实验教学中推广使用</w:t>
            </w:r>
          </w:p>
        </w:tc>
        <w:tc>
          <w:tcPr>
            <w:tcW w:w="921" w:type="dxa"/>
            <w:vAlign w:val="center"/>
          </w:tcPr>
          <w:p w:rsidR="00320B6B" w:rsidRDefault="007847C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922" w:type="dxa"/>
          </w:tcPr>
          <w:p w:rsidR="00320B6B" w:rsidRDefault="00320B6B">
            <w:pPr>
              <w:rPr>
                <w:b/>
                <w:sz w:val="26"/>
                <w:szCs w:val="28"/>
              </w:rPr>
            </w:pPr>
          </w:p>
        </w:tc>
      </w:tr>
    </w:tbl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320B6B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</w:p>
    <w:p w:rsidR="00320B6B" w:rsidRDefault="007847C5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asciiTheme="minorEastAsia" w:hAnsiTheme="minorEastAsia" w:cs="仿宋" w:hint="eastAsia"/>
          <w:kern w:val="0"/>
          <w:sz w:val="30"/>
          <w:szCs w:val="30"/>
        </w:rPr>
        <w:t>附件3：</w:t>
      </w:r>
    </w:p>
    <w:p w:rsidR="00320B6B" w:rsidRDefault="007847C5">
      <w:pPr>
        <w:autoSpaceDE w:val="0"/>
        <w:autoSpaceDN w:val="0"/>
        <w:adjustRightInd w:val="0"/>
        <w:ind w:firstLineChars="200" w:firstLine="723"/>
        <w:jc w:val="center"/>
        <w:rPr>
          <w:rFonts w:asciiTheme="minorEastAsia" w:hAnsiTheme="minorEastAsia" w:cs="仿宋"/>
          <w:b/>
          <w:bCs/>
          <w:kern w:val="0"/>
          <w:sz w:val="36"/>
          <w:szCs w:val="36"/>
        </w:rPr>
      </w:pPr>
      <w:r>
        <w:rPr>
          <w:rFonts w:asciiTheme="minorEastAsia" w:hAnsiTheme="minorEastAsia" w:cs="仿宋" w:hint="eastAsia"/>
          <w:b/>
          <w:bCs/>
          <w:kern w:val="0"/>
          <w:sz w:val="36"/>
          <w:szCs w:val="36"/>
        </w:rPr>
        <w:t>南昌大学第十届大学生化学实验竞赛初赛实验</w:t>
      </w:r>
    </w:p>
    <w:p w:rsidR="00320B6B" w:rsidRDefault="007847C5">
      <w:pPr>
        <w:autoSpaceDE w:val="0"/>
        <w:autoSpaceDN w:val="0"/>
        <w:adjustRightInd w:val="0"/>
        <w:ind w:firstLineChars="200" w:firstLine="723"/>
        <w:jc w:val="center"/>
        <w:rPr>
          <w:b/>
          <w:sz w:val="40"/>
          <w:szCs w:val="40"/>
        </w:rPr>
      </w:pPr>
      <w:r>
        <w:rPr>
          <w:rFonts w:asciiTheme="minorEastAsia" w:hAnsiTheme="minorEastAsia" w:cs="仿宋" w:hint="eastAsia"/>
          <w:b/>
          <w:bCs/>
          <w:kern w:val="0"/>
          <w:sz w:val="36"/>
          <w:szCs w:val="36"/>
        </w:rPr>
        <w:t>报告标准格式</w:t>
      </w:r>
    </w:p>
    <w:p w:rsidR="00320B6B" w:rsidRDefault="007847C5">
      <w:pPr>
        <w:numPr>
          <w:ilvl w:val="0"/>
          <w:numId w:val="1"/>
        </w:numPr>
        <w:spacing w:line="900" w:lineRule="auto"/>
        <w:rPr>
          <w:b/>
          <w:sz w:val="28"/>
        </w:rPr>
      </w:pPr>
      <w:r>
        <w:rPr>
          <w:rFonts w:hint="eastAsia"/>
          <w:b/>
          <w:sz w:val="28"/>
        </w:rPr>
        <w:t>实验名称</w:t>
      </w:r>
    </w:p>
    <w:p w:rsidR="00320B6B" w:rsidRDefault="007847C5">
      <w:pPr>
        <w:numPr>
          <w:ilvl w:val="0"/>
          <w:numId w:val="1"/>
        </w:numPr>
        <w:spacing w:line="900" w:lineRule="auto"/>
        <w:rPr>
          <w:b/>
          <w:sz w:val="28"/>
        </w:rPr>
      </w:pPr>
      <w:r>
        <w:rPr>
          <w:rFonts w:hint="eastAsia"/>
          <w:b/>
          <w:sz w:val="28"/>
        </w:rPr>
        <w:t>实验目的</w:t>
      </w:r>
    </w:p>
    <w:p w:rsidR="00320B6B" w:rsidRDefault="007847C5">
      <w:pPr>
        <w:numPr>
          <w:ilvl w:val="0"/>
          <w:numId w:val="1"/>
        </w:numPr>
        <w:spacing w:line="900" w:lineRule="auto"/>
        <w:rPr>
          <w:b/>
          <w:sz w:val="28"/>
        </w:rPr>
      </w:pPr>
      <w:r>
        <w:rPr>
          <w:rFonts w:hint="eastAsia"/>
          <w:b/>
          <w:sz w:val="28"/>
        </w:rPr>
        <w:t>实验原理</w:t>
      </w:r>
    </w:p>
    <w:p w:rsidR="00320B6B" w:rsidRDefault="007847C5">
      <w:pPr>
        <w:numPr>
          <w:ilvl w:val="0"/>
          <w:numId w:val="1"/>
        </w:numPr>
        <w:spacing w:line="900" w:lineRule="auto"/>
        <w:rPr>
          <w:b/>
          <w:sz w:val="28"/>
        </w:rPr>
      </w:pPr>
      <w:r>
        <w:rPr>
          <w:rFonts w:hint="eastAsia"/>
          <w:b/>
          <w:sz w:val="28"/>
        </w:rPr>
        <w:t>实验所需仪器的规格和药品用量</w:t>
      </w:r>
    </w:p>
    <w:p w:rsidR="00320B6B" w:rsidRDefault="007847C5">
      <w:pPr>
        <w:numPr>
          <w:ilvl w:val="0"/>
          <w:numId w:val="1"/>
        </w:numPr>
        <w:spacing w:line="900" w:lineRule="auto"/>
        <w:rPr>
          <w:b/>
          <w:sz w:val="28"/>
        </w:rPr>
      </w:pPr>
      <w:r>
        <w:rPr>
          <w:rFonts w:hint="eastAsia"/>
          <w:b/>
          <w:sz w:val="28"/>
        </w:rPr>
        <w:t>实验装置图</w:t>
      </w:r>
    </w:p>
    <w:p w:rsidR="00320B6B" w:rsidRDefault="007847C5">
      <w:pPr>
        <w:numPr>
          <w:ilvl w:val="0"/>
          <w:numId w:val="1"/>
        </w:numPr>
        <w:spacing w:line="900" w:lineRule="auto"/>
        <w:rPr>
          <w:b/>
          <w:sz w:val="28"/>
        </w:rPr>
      </w:pPr>
      <w:r>
        <w:rPr>
          <w:rFonts w:hint="eastAsia"/>
          <w:b/>
          <w:sz w:val="28"/>
        </w:rPr>
        <w:t>实验操作步骤，现象及结果</w:t>
      </w:r>
    </w:p>
    <w:p w:rsidR="00320B6B" w:rsidRDefault="007847C5">
      <w:pPr>
        <w:numPr>
          <w:ilvl w:val="0"/>
          <w:numId w:val="1"/>
        </w:numPr>
        <w:spacing w:line="900" w:lineRule="auto"/>
        <w:rPr>
          <w:b/>
          <w:sz w:val="28"/>
        </w:rPr>
      </w:pPr>
      <w:r>
        <w:rPr>
          <w:rFonts w:hint="eastAsia"/>
          <w:b/>
          <w:sz w:val="28"/>
        </w:rPr>
        <w:t>分析与讨论</w:t>
      </w:r>
    </w:p>
    <w:p w:rsidR="00320B6B" w:rsidRDefault="007847C5">
      <w:pPr>
        <w:spacing w:line="900" w:lineRule="auto"/>
        <w:ind w:left="899" w:firstLine="1"/>
        <w:rPr>
          <w:rFonts w:asciiTheme="minorEastAsia" w:hAnsiTheme="minorEastAsia" w:cs="仿宋"/>
          <w:kern w:val="0"/>
          <w:sz w:val="30"/>
          <w:szCs w:val="30"/>
        </w:rPr>
      </w:pPr>
      <w:r>
        <w:rPr>
          <w:rFonts w:hint="eastAsia"/>
          <w:b/>
          <w:sz w:val="28"/>
        </w:rPr>
        <w:t xml:space="preserve"> </w:t>
      </w:r>
    </w:p>
    <w:sectPr w:rsidR="00320B6B" w:rsidSect="00320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EB8FBA"/>
    <w:multiLevelType w:val="singleLevel"/>
    <w:tmpl w:val="94EB8FB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1BE"/>
    <w:rsid w:val="000357FC"/>
    <w:rsid w:val="000E2621"/>
    <w:rsid w:val="00167867"/>
    <w:rsid w:val="001D1AF3"/>
    <w:rsid w:val="00220BB0"/>
    <w:rsid w:val="002B7971"/>
    <w:rsid w:val="00320B6B"/>
    <w:rsid w:val="004948A9"/>
    <w:rsid w:val="00496F39"/>
    <w:rsid w:val="004A5EE5"/>
    <w:rsid w:val="004F51BE"/>
    <w:rsid w:val="00543E1C"/>
    <w:rsid w:val="00581D9E"/>
    <w:rsid w:val="006F47EE"/>
    <w:rsid w:val="007266B8"/>
    <w:rsid w:val="007847C5"/>
    <w:rsid w:val="00A839CD"/>
    <w:rsid w:val="00AB57C4"/>
    <w:rsid w:val="00B46559"/>
    <w:rsid w:val="00C6690F"/>
    <w:rsid w:val="00C8301A"/>
    <w:rsid w:val="00CD0949"/>
    <w:rsid w:val="00DB6690"/>
    <w:rsid w:val="00DD752D"/>
    <w:rsid w:val="00E306E6"/>
    <w:rsid w:val="00E64AA6"/>
    <w:rsid w:val="00EF642E"/>
    <w:rsid w:val="00F4259E"/>
    <w:rsid w:val="00F62E31"/>
    <w:rsid w:val="036F00E7"/>
    <w:rsid w:val="046312F0"/>
    <w:rsid w:val="125924F7"/>
    <w:rsid w:val="13730C32"/>
    <w:rsid w:val="5E5A5963"/>
    <w:rsid w:val="69264755"/>
    <w:rsid w:val="6DBA43C1"/>
    <w:rsid w:val="711E235D"/>
    <w:rsid w:val="78AE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20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0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20B6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320B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20B6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678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78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253</Words>
  <Characters>1445</Characters>
  <Application>Microsoft Office Word</Application>
  <DocSecurity>0</DocSecurity>
  <Lines>12</Lines>
  <Paragraphs>3</Paragraphs>
  <ScaleCrop>false</ScaleCrop>
  <Company>HP Inc.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郭瑛</dc:creator>
  <cp:lastModifiedBy>Administrator</cp:lastModifiedBy>
  <cp:revision>3</cp:revision>
  <dcterms:created xsi:type="dcterms:W3CDTF">2019-02-26T06:11:00Z</dcterms:created>
  <dcterms:modified xsi:type="dcterms:W3CDTF">2019-02-26T07:53:00Z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