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C" w:rsidRPr="00F52149" w:rsidRDefault="0048489C" w:rsidP="0048489C">
      <w:pPr>
        <w:jc w:val="center"/>
        <w:rPr>
          <w:rFonts w:ascii="微软雅黑" w:eastAsia="微软雅黑" w:hAnsi="微软雅黑"/>
          <w:b/>
          <w:sz w:val="32"/>
          <w:szCs w:val="28"/>
        </w:rPr>
      </w:pPr>
      <w:r w:rsidRPr="00F52149">
        <w:rPr>
          <w:rFonts w:ascii="微软雅黑" w:eastAsia="微软雅黑" w:hAnsi="微软雅黑" w:hint="eastAsia"/>
          <w:b/>
          <w:sz w:val="32"/>
          <w:szCs w:val="28"/>
        </w:rPr>
        <w:t>华润置地福建</w:t>
      </w:r>
      <w:r>
        <w:rPr>
          <w:rFonts w:ascii="微软雅黑" w:eastAsia="微软雅黑" w:hAnsi="微软雅黑" w:hint="eastAsia"/>
          <w:b/>
          <w:sz w:val="32"/>
          <w:szCs w:val="28"/>
        </w:rPr>
        <w:t>大区2014</w:t>
      </w:r>
      <w:r w:rsidRPr="00F52149">
        <w:rPr>
          <w:rFonts w:ascii="微软雅黑" w:eastAsia="微软雅黑" w:hAnsi="微软雅黑" w:hint="eastAsia"/>
          <w:b/>
          <w:sz w:val="32"/>
          <w:szCs w:val="28"/>
        </w:rPr>
        <w:t>年实习生招募</w:t>
      </w:r>
    </w:p>
    <w:p w:rsidR="0048489C" w:rsidRDefault="0048489C" w:rsidP="0048489C">
      <w:pPr>
        <w:spacing w:line="360" w:lineRule="auto"/>
        <w:ind w:firstLine="420"/>
        <w:rPr>
          <w:rFonts w:ascii="仿宋_GB2312" w:eastAsia="仿宋_GB2312"/>
          <w:color w:val="000000"/>
          <w:sz w:val="28"/>
          <w:szCs w:val="28"/>
        </w:rPr>
      </w:pP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炎炎夏日，是在家漫无目的的度过暑假？还是选择一种机遇和挑战，给校园生涯特别的体验？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/>
          <w:bCs/>
          <w:color w:val="000000"/>
          <w:szCs w:val="21"/>
        </w:rPr>
        <w:t>如果你：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1.是即将毕业的大三或研一、研二大学生；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2.对房地产行业非常感兴趣，志愿加入房地产事业；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3.想找一份含金量高的实习工作，为求职应聘增加砝码；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4.已经在关注华润的百匠新人计划。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/>
          <w:bCs/>
          <w:color w:val="000000"/>
          <w:szCs w:val="21"/>
        </w:rPr>
        <w:t xml:space="preserve">只要你： 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1.有良好的语言表达和沟通能力，反应灵活；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2.有良好的抗压能力及吃苦精神，有责任心，进取心及团队意识。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/>
          <w:bCs/>
          <w:color w:val="000000"/>
          <w:szCs w:val="21"/>
        </w:rPr>
        <w:t>你将得到：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1.充实饱满的工作状态，简单、坦诚、阳光的工作伙伴；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2.指定带岗人的辅导和帮助，带着你一起融入华润，了解工作；</w:t>
      </w:r>
    </w:p>
    <w:p w:rsidR="0048489C" w:rsidRPr="00F52149" w:rsidRDefault="0048489C" w:rsidP="0048489C">
      <w:pPr>
        <w:spacing w:line="360" w:lineRule="auto"/>
        <w:ind w:firstLine="420"/>
        <w:rPr>
          <w:rFonts w:ascii="微软雅黑" w:eastAsia="微软雅黑" w:hAnsi="微软雅黑"/>
          <w:bCs/>
          <w:color w:val="000000"/>
          <w:szCs w:val="21"/>
        </w:rPr>
      </w:pPr>
      <w:r w:rsidRPr="00F52149">
        <w:rPr>
          <w:rFonts w:ascii="微软雅黑" w:eastAsia="微软雅黑" w:hAnsi="微软雅黑" w:hint="eastAsia"/>
          <w:bCs/>
          <w:color w:val="000000"/>
          <w:szCs w:val="21"/>
        </w:rPr>
        <w:t>3.一份稳定的薪酬回报。</w:t>
      </w:r>
    </w:p>
    <w:p w:rsidR="0048489C" w:rsidRPr="00F52149" w:rsidRDefault="0048489C" w:rsidP="0048489C">
      <w:pPr>
        <w:pStyle w:val="a5"/>
        <w:numPr>
          <w:ilvl w:val="0"/>
          <w:numId w:val="1"/>
        </w:numPr>
        <w:spacing w:line="500" w:lineRule="exact"/>
        <w:ind w:rightChars="200" w:right="420" w:firstLineChars="0"/>
        <w:rPr>
          <w:rFonts w:ascii="微软雅黑" w:eastAsia="微软雅黑" w:hAnsi="微软雅黑"/>
          <w:b/>
          <w:color w:val="000000"/>
          <w:szCs w:val="21"/>
        </w:rPr>
      </w:pPr>
      <w:r w:rsidRPr="00F52149">
        <w:rPr>
          <w:rFonts w:ascii="微软雅黑" w:eastAsia="微软雅黑" w:hAnsi="微软雅黑" w:hint="eastAsia"/>
          <w:b/>
          <w:color w:val="000000"/>
          <w:szCs w:val="21"/>
        </w:rPr>
        <w:t>公司简介</w:t>
      </w:r>
    </w:p>
    <w:p w:rsidR="0048489C" w:rsidRPr="0048489C" w:rsidRDefault="0048489C" w:rsidP="0048489C">
      <w:pPr>
        <w:spacing w:line="500" w:lineRule="exact"/>
        <w:rPr>
          <w:rFonts w:ascii="微软雅黑" w:eastAsia="微软雅黑" w:hAnsi="微软雅黑"/>
          <w:b/>
          <w:color w:val="000000"/>
          <w:sz w:val="22"/>
        </w:rPr>
      </w:pPr>
      <w:r w:rsidRPr="0048489C">
        <w:rPr>
          <w:rFonts w:ascii="微软雅黑" w:eastAsia="微软雅黑" w:hAnsi="微软雅黑" w:hint="eastAsia"/>
          <w:b/>
          <w:color w:val="000000"/>
          <w:sz w:val="22"/>
        </w:rPr>
        <w:t>【</w:t>
      </w:r>
      <w:r w:rsidRPr="0048489C">
        <w:rPr>
          <w:rFonts w:ascii="微软雅黑" w:eastAsia="微软雅黑" w:hAnsi="微软雅黑"/>
          <w:b/>
          <w:color w:val="000000"/>
          <w:sz w:val="22"/>
        </w:rPr>
        <w:t>华润</w:t>
      </w:r>
      <w:r w:rsidRPr="0048489C">
        <w:rPr>
          <w:rFonts w:ascii="微软雅黑" w:eastAsia="微软雅黑" w:hAnsi="微软雅黑" w:hint="eastAsia"/>
          <w:b/>
          <w:color w:val="000000"/>
          <w:sz w:val="22"/>
        </w:rPr>
        <w:t>集团】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 xml:space="preserve">● </w:t>
      </w:r>
      <w:r w:rsidRPr="0048489C">
        <w:rPr>
          <w:rFonts w:ascii="微软雅黑" w:eastAsia="微软雅黑" w:hAnsi="微软雅黑" w:hint="eastAsia"/>
          <w:b/>
          <w:color w:val="000000"/>
          <w:szCs w:val="21"/>
        </w:rPr>
        <w:t>华润的地位</w:t>
      </w:r>
      <w:r w:rsidRPr="0048489C">
        <w:rPr>
          <w:rFonts w:ascii="微软雅黑" w:eastAsia="微软雅黑" w:hAnsi="微软雅黑" w:hint="eastAsia"/>
          <w:color w:val="000000"/>
          <w:szCs w:val="21"/>
        </w:rPr>
        <w:t>：由国务院国资委直接监管、关系国计民生的53家国有重点骨干企业之一。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 xml:space="preserve">● </w:t>
      </w:r>
      <w:r w:rsidRPr="0048489C">
        <w:rPr>
          <w:rFonts w:ascii="微软雅黑" w:eastAsia="微软雅黑" w:hAnsi="微软雅黑" w:hint="eastAsia"/>
          <w:b/>
          <w:color w:val="000000"/>
          <w:szCs w:val="21"/>
        </w:rPr>
        <w:t>华润的规模</w:t>
      </w:r>
      <w:r w:rsidRPr="0048489C">
        <w:rPr>
          <w:rFonts w:ascii="微软雅黑" w:eastAsia="微软雅黑" w:hAnsi="微软雅黑" w:hint="eastAsia"/>
          <w:color w:val="000000"/>
          <w:szCs w:val="21"/>
        </w:rPr>
        <w:t>：设</w:t>
      </w:r>
      <w:r w:rsidRPr="0048489C">
        <w:rPr>
          <w:rFonts w:ascii="微软雅黑" w:eastAsia="微软雅黑" w:hAnsi="微软雅黑"/>
          <w:color w:val="000000"/>
          <w:szCs w:val="21"/>
        </w:rPr>
        <w:t>7</w:t>
      </w:r>
      <w:r w:rsidRPr="0048489C">
        <w:rPr>
          <w:rFonts w:ascii="微软雅黑" w:eastAsia="微软雅黑" w:hAnsi="微软雅黑" w:hint="eastAsia"/>
          <w:color w:val="000000"/>
          <w:szCs w:val="21"/>
        </w:rPr>
        <w:t>大战略业务单元（</w:t>
      </w:r>
      <w:r w:rsidRPr="0048489C">
        <w:rPr>
          <w:rFonts w:ascii="微软雅黑" w:eastAsia="微软雅黑" w:hAnsi="微软雅黑"/>
          <w:color w:val="000000"/>
          <w:szCs w:val="21"/>
        </w:rPr>
        <w:t>SBU</w:t>
      </w:r>
      <w:r w:rsidRPr="0048489C">
        <w:rPr>
          <w:rFonts w:ascii="微软雅黑" w:eastAsia="微软雅黑" w:hAnsi="微软雅黑" w:hint="eastAsia"/>
          <w:color w:val="000000"/>
          <w:szCs w:val="21"/>
        </w:rPr>
        <w:t>）、</w:t>
      </w:r>
      <w:r w:rsidRPr="0048489C">
        <w:rPr>
          <w:rFonts w:ascii="微软雅黑" w:eastAsia="微软雅黑" w:hAnsi="微软雅黑"/>
          <w:color w:val="000000"/>
          <w:szCs w:val="21"/>
        </w:rPr>
        <w:t>21</w:t>
      </w:r>
      <w:r w:rsidRPr="0048489C">
        <w:rPr>
          <w:rFonts w:ascii="微软雅黑" w:eastAsia="微软雅黑" w:hAnsi="微软雅黑" w:hint="eastAsia"/>
          <w:color w:val="000000"/>
          <w:szCs w:val="21"/>
        </w:rPr>
        <w:t>家一级利润中心，</w:t>
      </w:r>
      <w:r w:rsidRPr="0048489C">
        <w:rPr>
          <w:rFonts w:ascii="微软雅黑" w:eastAsia="微软雅黑" w:hAnsi="微软雅黑"/>
          <w:color w:val="000000"/>
          <w:szCs w:val="21"/>
        </w:rPr>
        <w:t>1,200</w:t>
      </w:r>
      <w:r w:rsidRPr="0048489C">
        <w:rPr>
          <w:rFonts w:ascii="微软雅黑" w:eastAsia="微软雅黑" w:hAnsi="微软雅黑" w:hint="eastAsia"/>
          <w:color w:val="000000"/>
          <w:szCs w:val="21"/>
        </w:rPr>
        <w:t>多家实体企业，</w:t>
      </w:r>
      <w:r w:rsidRPr="0048489C">
        <w:rPr>
          <w:rFonts w:ascii="微软雅黑" w:eastAsia="微软雅黑" w:hAnsi="微软雅黑"/>
          <w:color w:val="000000"/>
          <w:szCs w:val="21"/>
        </w:rPr>
        <w:t>5</w:t>
      </w:r>
      <w:r w:rsidRPr="0048489C">
        <w:rPr>
          <w:rFonts w:ascii="微软雅黑" w:eastAsia="微软雅黑" w:hAnsi="微软雅黑" w:hint="eastAsia"/>
          <w:color w:val="000000"/>
          <w:szCs w:val="21"/>
        </w:rPr>
        <w:t>家香港上市公司，员工40万人。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 xml:space="preserve">● </w:t>
      </w:r>
      <w:r w:rsidRPr="0048489C">
        <w:rPr>
          <w:rFonts w:ascii="微软雅黑" w:eastAsia="微软雅黑" w:hAnsi="微软雅黑" w:hint="eastAsia"/>
          <w:b/>
          <w:color w:val="000000"/>
          <w:szCs w:val="21"/>
        </w:rPr>
        <w:t>华润的力量</w:t>
      </w:r>
      <w:r w:rsidRPr="0048489C">
        <w:rPr>
          <w:rFonts w:ascii="微软雅黑" w:eastAsia="微软雅黑" w:hAnsi="微软雅黑" w:hint="eastAsia"/>
          <w:color w:val="000000"/>
          <w:szCs w:val="21"/>
        </w:rPr>
        <w:t>：</w:t>
      </w:r>
      <w:r w:rsidRPr="0048489C">
        <w:rPr>
          <w:rFonts w:ascii="微软雅黑" w:eastAsia="微软雅黑" w:hAnsi="微软雅黑"/>
          <w:color w:val="000000"/>
          <w:szCs w:val="21"/>
        </w:rPr>
        <w:t>201</w:t>
      </w:r>
      <w:r w:rsidRPr="0048489C">
        <w:rPr>
          <w:rFonts w:ascii="微软雅黑" w:eastAsia="微软雅黑" w:hAnsi="微软雅黑" w:hint="eastAsia"/>
          <w:color w:val="000000"/>
          <w:szCs w:val="21"/>
        </w:rPr>
        <w:t>3年名列《财富》世界</w:t>
      </w:r>
      <w:r w:rsidRPr="0048489C">
        <w:rPr>
          <w:rFonts w:ascii="微软雅黑" w:eastAsia="微软雅黑" w:hAnsi="微软雅黑"/>
          <w:color w:val="000000"/>
          <w:szCs w:val="21"/>
        </w:rPr>
        <w:t>500</w:t>
      </w:r>
      <w:r w:rsidRPr="0048489C">
        <w:rPr>
          <w:rFonts w:ascii="微软雅黑" w:eastAsia="微软雅黑" w:hAnsi="微软雅黑" w:hint="eastAsia"/>
          <w:color w:val="000000"/>
          <w:szCs w:val="21"/>
        </w:rPr>
        <w:t>强第187位，央企综合财务指标排名第</w:t>
      </w:r>
      <w:r w:rsidRPr="0048489C">
        <w:rPr>
          <w:rFonts w:ascii="微软雅黑" w:eastAsia="微软雅黑" w:hAnsi="微软雅黑"/>
          <w:color w:val="000000"/>
          <w:szCs w:val="21"/>
        </w:rPr>
        <w:t>5</w:t>
      </w:r>
      <w:r w:rsidRPr="0048489C"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48489C" w:rsidRPr="0048489C" w:rsidRDefault="0048489C" w:rsidP="0048489C">
      <w:pPr>
        <w:spacing w:line="500" w:lineRule="exact"/>
        <w:rPr>
          <w:rFonts w:ascii="微软雅黑" w:eastAsia="微软雅黑" w:hAnsi="微软雅黑"/>
          <w:b/>
          <w:color w:val="000000"/>
          <w:sz w:val="22"/>
        </w:rPr>
      </w:pPr>
      <w:r w:rsidRPr="0048489C">
        <w:rPr>
          <w:rFonts w:ascii="微软雅黑" w:eastAsia="微软雅黑" w:hAnsi="微软雅黑" w:hint="eastAsia"/>
          <w:b/>
          <w:color w:val="000000"/>
          <w:sz w:val="22"/>
        </w:rPr>
        <w:lastRenderedPageBreak/>
        <w:t>【</w:t>
      </w:r>
      <w:r w:rsidRPr="0048489C">
        <w:rPr>
          <w:rFonts w:ascii="微软雅黑" w:eastAsia="微软雅黑" w:hAnsi="微软雅黑"/>
          <w:b/>
          <w:color w:val="000000"/>
          <w:sz w:val="22"/>
        </w:rPr>
        <w:t>华润</w:t>
      </w:r>
      <w:r w:rsidRPr="0048489C">
        <w:rPr>
          <w:rFonts w:ascii="微软雅黑" w:eastAsia="微软雅黑" w:hAnsi="微软雅黑" w:hint="eastAsia"/>
          <w:b/>
          <w:color w:val="000000"/>
          <w:sz w:val="22"/>
        </w:rPr>
        <w:t>置地】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位列香港恒生指数成分股，系</w:t>
      </w:r>
      <w:r w:rsidRPr="0048489C">
        <w:rPr>
          <w:rFonts w:ascii="Arial" w:hAnsi="Arial" w:cs="Arial"/>
          <w:color w:val="333333"/>
          <w:szCs w:val="21"/>
          <w:shd w:val="clear" w:color="auto" w:fill="FFFFFF"/>
        </w:rPr>
        <w:t>香港</w:t>
      </w:r>
      <w:r w:rsidRPr="0048489C">
        <w:rPr>
          <w:rFonts w:ascii="Arial" w:hAnsi="Arial" w:cs="Arial"/>
          <w:color w:val="333333"/>
          <w:szCs w:val="21"/>
          <w:shd w:val="clear" w:color="auto" w:fill="FFFFFF"/>
        </w:rPr>
        <w:t>43</w:t>
      </w:r>
      <w:r w:rsidRPr="0048489C">
        <w:rPr>
          <w:rFonts w:ascii="Arial" w:hAnsi="Arial" w:cs="Arial"/>
          <w:color w:val="333333"/>
          <w:szCs w:val="21"/>
          <w:shd w:val="clear" w:color="auto" w:fill="FFFFFF"/>
        </w:rPr>
        <w:t>只蓝筹股之一</w:t>
      </w:r>
      <w:r w:rsidRPr="0048489C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截至2013年8月，总资产超过2300亿港元，净资产超过895亿港元。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进入中国内地46个城市，正在发展项目超过90个， 土地储备面积超过3000万平米。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拥有独特的住宅开发</w:t>
      </w:r>
      <w:r w:rsidRPr="0048489C">
        <w:rPr>
          <w:rFonts w:ascii="微软雅黑" w:eastAsia="微软雅黑" w:hAnsi="微软雅黑"/>
          <w:color w:val="000000"/>
          <w:szCs w:val="21"/>
        </w:rPr>
        <w:t>+</w:t>
      </w:r>
      <w:r w:rsidRPr="0048489C">
        <w:rPr>
          <w:rFonts w:ascii="微软雅黑" w:eastAsia="微软雅黑" w:hAnsi="微软雅黑" w:hint="eastAsia"/>
          <w:color w:val="000000"/>
          <w:szCs w:val="21"/>
        </w:rPr>
        <w:t>商业地产</w:t>
      </w:r>
      <w:r w:rsidRPr="0048489C">
        <w:rPr>
          <w:rFonts w:ascii="微软雅黑" w:eastAsia="微软雅黑" w:hAnsi="微软雅黑"/>
          <w:color w:val="000000"/>
          <w:szCs w:val="21"/>
        </w:rPr>
        <w:t>+</w:t>
      </w:r>
      <w:r w:rsidRPr="0048489C">
        <w:rPr>
          <w:rFonts w:ascii="微软雅黑" w:eastAsia="微软雅黑" w:hAnsi="微软雅黑" w:hint="eastAsia"/>
          <w:color w:val="000000"/>
          <w:szCs w:val="21"/>
        </w:rPr>
        <w:t>增值服务的商业模式，以“品质给城市更多改变”为品牌理念。</w:t>
      </w:r>
    </w:p>
    <w:p w:rsidR="0048489C" w:rsidRPr="0048489C" w:rsidRDefault="0048489C" w:rsidP="0048489C">
      <w:pPr>
        <w:spacing w:line="500" w:lineRule="exact"/>
        <w:rPr>
          <w:rFonts w:ascii="微软雅黑" w:eastAsia="微软雅黑" w:hAnsi="微软雅黑"/>
          <w:b/>
          <w:color w:val="000000"/>
          <w:sz w:val="22"/>
        </w:rPr>
      </w:pPr>
      <w:r w:rsidRPr="0048489C">
        <w:rPr>
          <w:rFonts w:ascii="微软雅黑" w:eastAsia="微软雅黑" w:hAnsi="微软雅黑" w:hint="eastAsia"/>
          <w:b/>
          <w:color w:val="000000"/>
          <w:sz w:val="22"/>
        </w:rPr>
        <w:t>【</w:t>
      </w:r>
      <w:r w:rsidRPr="0048489C">
        <w:rPr>
          <w:rFonts w:ascii="微软雅黑" w:eastAsia="微软雅黑" w:hAnsi="微软雅黑"/>
          <w:b/>
          <w:color w:val="000000"/>
          <w:sz w:val="22"/>
        </w:rPr>
        <w:t>华润</w:t>
      </w:r>
      <w:r w:rsidRPr="0048489C">
        <w:rPr>
          <w:rFonts w:ascii="微软雅黑" w:eastAsia="微软雅黑" w:hAnsi="微软雅黑" w:hint="eastAsia"/>
          <w:b/>
          <w:color w:val="000000"/>
          <w:sz w:val="22"/>
        </w:rPr>
        <w:t>置地福建大区】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华润置地全国性战略布局的十个大区公司之一，以福州为中心，辐射福建、江西两省。</w:t>
      </w:r>
    </w:p>
    <w:p w:rsidR="0048489C" w:rsidRPr="0048489C" w:rsidRDefault="0048489C" w:rsidP="0048489C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3个品质高尚住宅项目：英伦风情-福州橡树湾、学府人文-厦门橡树湾、法式尊贵-南昌橡树湾品质卓越，均为区域内的标杆产品。</w:t>
      </w:r>
    </w:p>
    <w:p w:rsidR="0048489C" w:rsidRDefault="0048489C" w:rsidP="00D47CBB">
      <w:pPr>
        <w:spacing w:line="500" w:lineRule="exact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● 3个高端商业项目：福州万象城、厦门万象城、赣州万象城，引领区域奢尚消费潮流，深耕闽赣，快速成长。福州万象城位于鼓楼区核心区，将打造成福州市档次最高，业态配比最全面的一站式大型购物中心，力图在未来引领福州消费零售市场。</w:t>
      </w:r>
    </w:p>
    <w:p w:rsidR="00E86D3A" w:rsidRPr="000F5CFF" w:rsidRDefault="0048489C" w:rsidP="000F5CFF">
      <w:pPr>
        <w:spacing w:line="500" w:lineRule="exact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48489C">
        <w:rPr>
          <w:rFonts w:ascii="微软雅黑" w:eastAsia="微软雅黑" w:hAnsi="微软雅黑" w:hint="eastAsia"/>
          <w:color w:val="000000"/>
          <w:szCs w:val="21"/>
        </w:rPr>
        <w:t>福建大区正处于稳步扩张阶段。在未来2-3年内，平均每年将获得2-3个项目，将落地3个“住宅+五彩城”项目，完善福建、江西两省战略布局，致力成为闽赣区域最具影响力和最具典范性的综合型地产开发商。</w:t>
      </w:r>
    </w:p>
    <w:p w:rsidR="0048489C" w:rsidRPr="000F5CFF" w:rsidRDefault="0048489C" w:rsidP="000F5CFF">
      <w:pPr>
        <w:pStyle w:val="a5"/>
        <w:numPr>
          <w:ilvl w:val="0"/>
          <w:numId w:val="1"/>
        </w:numPr>
        <w:spacing w:line="500" w:lineRule="exact"/>
        <w:ind w:rightChars="200" w:right="420" w:firstLineChars="0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招募岗位</w:t>
      </w:r>
    </w:p>
    <w:tbl>
      <w:tblPr>
        <w:tblW w:w="4835" w:type="dxa"/>
        <w:tblInd w:w="1844" w:type="dxa"/>
        <w:tblLook w:val="04A0"/>
      </w:tblPr>
      <w:tblGrid>
        <w:gridCol w:w="299"/>
        <w:gridCol w:w="3544"/>
        <w:gridCol w:w="992"/>
      </w:tblGrid>
      <w:tr w:rsidR="00D47CBB" w:rsidRPr="0048489C" w:rsidTr="00D47CBB">
        <w:trPr>
          <w:trHeight w:val="4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7CBB" w:rsidRPr="0048489C" w:rsidRDefault="00D47CBB" w:rsidP="00D47CBB">
            <w:pPr>
              <w:widowControl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南昌</w:t>
            </w:r>
          </w:p>
        </w:tc>
      </w:tr>
      <w:tr w:rsidR="00D47CBB" w:rsidRPr="0048489C" w:rsidTr="00D47CBB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CBB" w:rsidRPr="0048489C" w:rsidRDefault="00D47CBB" w:rsidP="00D47CBB">
            <w:pPr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机电造价师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CBB" w:rsidRPr="0048489C" w:rsidTr="00D47CBB">
        <w:trPr>
          <w:trHeight w:val="3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建筑设计师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CBB" w:rsidRPr="0048489C" w:rsidTr="00D47CBB">
        <w:trPr>
          <w:trHeight w:val="3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CBB" w:rsidRPr="0048489C" w:rsidRDefault="00D47CBB" w:rsidP="0048489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室内设计师/增值服务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CBB" w:rsidRPr="0048489C" w:rsidTr="00D47CBB">
        <w:trPr>
          <w:trHeight w:val="3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CBB" w:rsidRPr="0048489C" w:rsidRDefault="00D47CBB" w:rsidP="0048489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销售培训生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CBB" w:rsidRPr="0048489C" w:rsidTr="00D47CBB">
        <w:trPr>
          <w:trHeight w:val="3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B" w:rsidRPr="0048489C" w:rsidRDefault="00D47CBB" w:rsidP="0048489C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B" w:rsidRPr="0048489C" w:rsidRDefault="00D47CBB" w:rsidP="0048489C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8489C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48489C" w:rsidRDefault="0048489C" w:rsidP="000F5CFF">
      <w:pPr>
        <w:spacing w:line="500" w:lineRule="exact"/>
        <w:ind w:rightChars="200" w:right="420"/>
        <w:rPr>
          <w:rFonts w:ascii="微软雅黑" w:eastAsia="微软雅黑" w:hAnsi="微软雅黑"/>
          <w:b/>
          <w:color w:val="000000"/>
          <w:szCs w:val="21"/>
        </w:rPr>
      </w:pPr>
    </w:p>
    <w:p w:rsidR="0048489C" w:rsidRPr="0048489C" w:rsidRDefault="0048489C" w:rsidP="0048489C">
      <w:pPr>
        <w:pStyle w:val="a5"/>
        <w:numPr>
          <w:ilvl w:val="0"/>
          <w:numId w:val="1"/>
        </w:numPr>
        <w:spacing w:line="500" w:lineRule="exact"/>
        <w:ind w:rightChars="200" w:right="420" w:firstLineChars="0"/>
        <w:rPr>
          <w:rFonts w:ascii="微软雅黑" w:eastAsia="微软雅黑" w:hAnsi="微软雅黑"/>
          <w:b/>
          <w:color w:val="000000"/>
          <w:szCs w:val="21"/>
        </w:rPr>
      </w:pPr>
      <w:r w:rsidRPr="0048489C">
        <w:rPr>
          <w:rFonts w:ascii="微软雅黑" w:eastAsia="微软雅黑" w:hAnsi="微软雅黑" w:hint="eastAsia"/>
          <w:b/>
          <w:color w:val="000000"/>
          <w:szCs w:val="21"/>
        </w:rPr>
        <w:t>应聘须知：</w:t>
      </w:r>
    </w:p>
    <w:p w:rsidR="0048489C" w:rsidRPr="00F52149" w:rsidRDefault="0048489C" w:rsidP="0048489C">
      <w:pPr>
        <w:spacing w:line="360" w:lineRule="auto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F52149">
        <w:rPr>
          <w:rFonts w:ascii="微软雅黑" w:eastAsia="微软雅黑" w:hAnsi="微软雅黑" w:hint="eastAsia"/>
          <w:b/>
          <w:color w:val="000000"/>
          <w:szCs w:val="21"/>
        </w:rPr>
        <w:t>简历及个人生活照</w:t>
      </w:r>
      <w:r w:rsidRPr="00F52149">
        <w:rPr>
          <w:rFonts w:ascii="微软雅黑" w:eastAsia="微软雅黑" w:hAnsi="微软雅黑" w:hint="eastAsia"/>
          <w:color w:val="000000"/>
          <w:szCs w:val="21"/>
        </w:rPr>
        <w:t>直接投递至</w:t>
      </w:r>
      <w:r>
        <w:rPr>
          <w:rFonts w:ascii="微软雅黑" w:eastAsia="微软雅黑" w:hAnsi="微软雅黑" w:hint="eastAsia"/>
          <w:color w:val="000000"/>
          <w:szCs w:val="21"/>
        </w:rPr>
        <w:t>所应聘</w:t>
      </w:r>
      <w:r w:rsidRPr="00F52149">
        <w:rPr>
          <w:rFonts w:ascii="微软雅黑" w:eastAsia="微软雅黑" w:hAnsi="微软雅黑" w:hint="eastAsia"/>
          <w:color w:val="000000"/>
          <w:szCs w:val="21"/>
        </w:rPr>
        <w:t>公司邮箱，邮箱地址如下:</w:t>
      </w:r>
    </w:p>
    <w:p w:rsidR="0048489C" w:rsidRPr="00D47CBB" w:rsidRDefault="0048489C" w:rsidP="00D47CBB">
      <w:pPr>
        <w:spacing w:line="360" w:lineRule="auto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>
        <w:rPr>
          <w:rStyle w:val="a6"/>
          <w:rFonts w:ascii="微软雅黑" w:eastAsia="微软雅黑" w:hAnsi="微软雅黑" w:hint="eastAsia"/>
          <w:szCs w:val="21"/>
        </w:rPr>
        <w:t>南昌公司：</w:t>
      </w:r>
      <w:hyperlink r:id="rId7" w:history="1">
        <w:r w:rsidR="00656163" w:rsidRPr="00982799">
          <w:rPr>
            <w:rStyle w:val="a6"/>
            <w:rFonts w:ascii="微软雅黑" w:eastAsia="微软雅黑" w:hAnsi="微软雅黑"/>
            <w:szCs w:val="21"/>
          </w:rPr>
          <w:t>nchr@crland.com.cn</w:t>
        </w:r>
      </w:hyperlink>
      <w:r w:rsidR="00656163">
        <w:rPr>
          <w:rStyle w:val="a6"/>
          <w:rFonts w:ascii="微软雅黑" w:eastAsia="微软雅黑" w:hAnsi="微软雅黑" w:hint="eastAsia"/>
          <w:szCs w:val="21"/>
        </w:rPr>
        <w:t xml:space="preserve">   </w:t>
      </w:r>
    </w:p>
    <w:p w:rsidR="0048489C" w:rsidRPr="000F5CFF" w:rsidRDefault="0048489C" w:rsidP="000F5CFF">
      <w:pPr>
        <w:spacing w:line="360" w:lineRule="auto"/>
        <w:ind w:firstLineChars="200" w:firstLine="420"/>
        <w:rPr>
          <w:rFonts w:ascii="微软雅黑" w:eastAsia="微软雅黑" w:hAnsi="微软雅黑"/>
          <w:b/>
          <w:color w:val="000000"/>
          <w:szCs w:val="21"/>
        </w:rPr>
      </w:pPr>
      <w:r w:rsidRPr="0048489C">
        <w:rPr>
          <w:rFonts w:ascii="微软雅黑" w:eastAsia="微软雅黑" w:hAnsi="微软雅黑" w:hint="eastAsia"/>
          <w:b/>
          <w:color w:val="000000"/>
          <w:szCs w:val="21"/>
        </w:rPr>
        <w:t>电子邮件主题请务必统一采用“实习岗位—姓名—学校及专业—意向地点”的格式，如：实习建筑师—张三—XX大学XX专业-</w:t>
      </w:r>
      <w:r w:rsidR="00D47CBB">
        <w:rPr>
          <w:rFonts w:ascii="微软雅黑" w:eastAsia="微软雅黑" w:hAnsi="微软雅黑" w:hint="eastAsia"/>
          <w:b/>
          <w:color w:val="000000"/>
          <w:szCs w:val="21"/>
        </w:rPr>
        <w:t>南昌</w:t>
      </w:r>
      <w:r w:rsidRPr="0048489C">
        <w:rPr>
          <w:rFonts w:ascii="微软雅黑" w:eastAsia="微软雅黑" w:hAnsi="微软雅黑" w:hint="eastAsia"/>
          <w:b/>
          <w:color w:val="000000"/>
          <w:szCs w:val="21"/>
        </w:rPr>
        <w:t>。</w:t>
      </w:r>
    </w:p>
    <w:sectPr w:rsidR="0048489C" w:rsidRPr="000F5CFF" w:rsidSect="0048489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2E" w:rsidRDefault="000D462E" w:rsidP="0048489C">
      <w:r>
        <w:separator/>
      </w:r>
    </w:p>
  </w:endnote>
  <w:endnote w:type="continuationSeparator" w:id="1">
    <w:p w:rsidR="000D462E" w:rsidRDefault="000D462E" w:rsidP="0048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2E" w:rsidRDefault="000D462E" w:rsidP="0048489C">
      <w:r>
        <w:separator/>
      </w:r>
    </w:p>
  </w:footnote>
  <w:footnote w:type="continuationSeparator" w:id="1">
    <w:p w:rsidR="000D462E" w:rsidRDefault="000D462E" w:rsidP="0048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B9D"/>
    <w:multiLevelType w:val="hybridMultilevel"/>
    <w:tmpl w:val="7390DCC4"/>
    <w:lvl w:ilvl="0" w:tplc="BC7425C6">
      <w:start w:val="1"/>
      <w:numFmt w:val="japaneseCounting"/>
      <w:lvlText w:val="%1、"/>
      <w:lvlJc w:val="left"/>
      <w:pPr>
        <w:ind w:left="89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1">
    <w:nsid w:val="37742006"/>
    <w:multiLevelType w:val="hybridMultilevel"/>
    <w:tmpl w:val="7390DCC4"/>
    <w:lvl w:ilvl="0" w:tplc="BC7425C6">
      <w:start w:val="1"/>
      <w:numFmt w:val="japaneseCounting"/>
      <w:lvlText w:val="%1、"/>
      <w:lvlJc w:val="left"/>
      <w:pPr>
        <w:ind w:left="89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1FD"/>
    <w:rsid w:val="000D462E"/>
    <w:rsid w:val="000F5CFF"/>
    <w:rsid w:val="0048489C"/>
    <w:rsid w:val="00656163"/>
    <w:rsid w:val="006A01DF"/>
    <w:rsid w:val="00702AB8"/>
    <w:rsid w:val="00771A34"/>
    <w:rsid w:val="008A2121"/>
    <w:rsid w:val="009071FD"/>
    <w:rsid w:val="00CE3CBE"/>
    <w:rsid w:val="00D47CBB"/>
    <w:rsid w:val="00E86D3A"/>
    <w:rsid w:val="00F050E6"/>
    <w:rsid w:val="00F204A2"/>
    <w:rsid w:val="00FE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89C"/>
    <w:rPr>
      <w:sz w:val="18"/>
      <w:szCs w:val="18"/>
    </w:rPr>
  </w:style>
  <w:style w:type="paragraph" w:styleId="a5">
    <w:name w:val="List Paragraph"/>
    <w:basedOn w:val="a"/>
    <w:uiPriority w:val="34"/>
    <w:qFormat/>
    <w:rsid w:val="0048489C"/>
    <w:pPr>
      <w:ind w:firstLineChars="200" w:firstLine="420"/>
    </w:pPr>
  </w:style>
  <w:style w:type="character" w:styleId="a6">
    <w:name w:val="Hyperlink"/>
    <w:rsid w:val="0048489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89C"/>
    <w:rPr>
      <w:sz w:val="18"/>
      <w:szCs w:val="18"/>
    </w:rPr>
  </w:style>
  <w:style w:type="paragraph" w:styleId="a5">
    <w:name w:val="List Paragraph"/>
    <w:basedOn w:val="a"/>
    <w:uiPriority w:val="34"/>
    <w:qFormat/>
    <w:rsid w:val="0048489C"/>
    <w:pPr>
      <w:ind w:firstLineChars="200" w:firstLine="420"/>
    </w:pPr>
  </w:style>
  <w:style w:type="character" w:styleId="a6">
    <w:name w:val="Hyperlink"/>
    <w:rsid w:val="0048489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hr@crla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???é??</dc:creator>
  <cp:keywords/>
  <dc:description/>
  <cp:lastModifiedBy>liy</cp:lastModifiedBy>
  <cp:revision>4</cp:revision>
  <dcterms:created xsi:type="dcterms:W3CDTF">2014-06-04T09:02:00Z</dcterms:created>
  <dcterms:modified xsi:type="dcterms:W3CDTF">2014-06-05T07:10:00Z</dcterms:modified>
</cp:coreProperties>
</file>